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5D42E" w14:textId="77777777" w:rsidR="002D4568" w:rsidRDefault="002D4568" w:rsidP="002D4568">
      <w:pPr>
        <w:pStyle w:val="Default"/>
      </w:pPr>
    </w:p>
    <w:p w14:paraId="32530A5A" w14:textId="1D657EC3" w:rsidR="000830B8" w:rsidRPr="007A6131" w:rsidRDefault="007A6131" w:rsidP="007A6131">
      <w:pPr>
        <w:pStyle w:val="Default"/>
        <w:rPr>
          <w:color w:val="000000" w:themeColor="text1"/>
          <w:sz w:val="32"/>
          <w:szCs w:val="32"/>
        </w:rPr>
      </w:pPr>
      <w:r>
        <w:rPr>
          <w:b/>
          <w:bCs/>
          <w:color w:val="000000" w:themeColor="text1"/>
          <w:sz w:val="32"/>
          <w:szCs w:val="32"/>
        </w:rPr>
        <w:t xml:space="preserve">Code of Practice Assessment </w:t>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t>Appendix A</w:t>
      </w:r>
    </w:p>
    <w:p w14:paraId="303F13DB" w14:textId="77777777" w:rsidR="00584FDD" w:rsidRDefault="00584FDD" w:rsidP="00402379">
      <w:pPr>
        <w:pStyle w:val="Default"/>
      </w:pPr>
    </w:p>
    <w:p w14:paraId="435B4BED" w14:textId="77777777" w:rsidR="00216D69" w:rsidRDefault="00216D69" w:rsidP="00216D69">
      <w:pPr>
        <w:pStyle w:val="Default"/>
        <w:jc w:val="right"/>
      </w:pPr>
    </w:p>
    <w:tbl>
      <w:tblPr>
        <w:tblStyle w:val="TableGrid"/>
        <w:tblW w:w="14029" w:type="dxa"/>
        <w:tblLook w:val="04A0" w:firstRow="1" w:lastRow="0" w:firstColumn="1" w:lastColumn="0" w:noHBand="0" w:noVBand="1"/>
      </w:tblPr>
      <w:tblGrid>
        <w:gridCol w:w="1880"/>
        <w:gridCol w:w="4778"/>
        <w:gridCol w:w="4394"/>
        <w:gridCol w:w="2977"/>
      </w:tblGrid>
      <w:tr w:rsidR="00216D69" w14:paraId="02729644" w14:textId="77777777" w:rsidTr="00593D86">
        <w:tc>
          <w:tcPr>
            <w:tcW w:w="1880" w:type="dxa"/>
            <w:shd w:val="clear" w:color="auto" w:fill="F2F2F2" w:themeFill="background1" w:themeFillShade="F2"/>
          </w:tcPr>
          <w:p w14:paraId="5F1C354B" w14:textId="2D099D50" w:rsidR="00216D69" w:rsidRPr="00593D86" w:rsidRDefault="00216D69" w:rsidP="00216D69">
            <w:pPr>
              <w:pStyle w:val="Default"/>
              <w:rPr>
                <w:rFonts w:ascii="Arial" w:hAnsi="Arial" w:cs="Arial"/>
                <w:sz w:val="22"/>
                <w:szCs w:val="22"/>
              </w:rPr>
            </w:pPr>
            <w:r w:rsidRPr="00593D86">
              <w:rPr>
                <w:rFonts w:ascii="Arial" w:hAnsi="Arial" w:cs="Arial"/>
                <w:sz w:val="22"/>
                <w:szCs w:val="22"/>
              </w:rPr>
              <w:t>Key Principle</w:t>
            </w:r>
          </w:p>
        </w:tc>
        <w:tc>
          <w:tcPr>
            <w:tcW w:w="4778" w:type="dxa"/>
            <w:shd w:val="clear" w:color="auto" w:fill="F2F2F2" w:themeFill="background1" w:themeFillShade="F2"/>
          </w:tcPr>
          <w:p w14:paraId="583558E8" w14:textId="64E4DDA7" w:rsidR="00216D69" w:rsidRPr="00593D86" w:rsidRDefault="00216D69" w:rsidP="00216D69">
            <w:pPr>
              <w:pStyle w:val="Default"/>
              <w:rPr>
                <w:rFonts w:ascii="Arial" w:hAnsi="Arial" w:cs="Arial"/>
                <w:sz w:val="22"/>
                <w:szCs w:val="22"/>
              </w:rPr>
            </w:pPr>
            <w:r w:rsidRPr="00593D86">
              <w:rPr>
                <w:rFonts w:ascii="Arial" w:hAnsi="Arial" w:cs="Arial"/>
                <w:sz w:val="22"/>
                <w:szCs w:val="22"/>
              </w:rPr>
              <w:t>Specific Steps</w:t>
            </w:r>
          </w:p>
        </w:tc>
        <w:tc>
          <w:tcPr>
            <w:tcW w:w="4394" w:type="dxa"/>
            <w:shd w:val="clear" w:color="auto" w:fill="F2F2F2" w:themeFill="background1" w:themeFillShade="F2"/>
          </w:tcPr>
          <w:p w14:paraId="11A0B43F" w14:textId="2DBCD164" w:rsidR="00216D69" w:rsidRPr="00593D86" w:rsidRDefault="00216D69" w:rsidP="00216D69">
            <w:pPr>
              <w:pStyle w:val="Default"/>
              <w:rPr>
                <w:rFonts w:ascii="Arial" w:hAnsi="Arial" w:cs="Arial"/>
                <w:sz w:val="22"/>
                <w:szCs w:val="22"/>
              </w:rPr>
            </w:pPr>
            <w:r w:rsidRPr="00593D86">
              <w:rPr>
                <w:rFonts w:ascii="Arial" w:hAnsi="Arial" w:cs="Arial"/>
                <w:sz w:val="22"/>
                <w:szCs w:val="22"/>
              </w:rPr>
              <w:t>Council</w:t>
            </w:r>
            <w:r w:rsidR="00F43502">
              <w:rPr>
                <w:rFonts w:ascii="Arial" w:hAnsi="Arial" w:cs="Arial"/>
                <w:sz w:val="22"/>
                <w:szCs w:val="22"/>
              </w:rPr>
              <w:t xml:space="preserve"> </w:t>
            </w:r>
            <w:r w:rsidRPr="00593D86">
              <w:rPr>
                <w:rFonts w:ascii="Arial" w:hAnsi="Arial" w:cs="Arial"/>
                <w:sz w:val="22"/>
                <w:szCs w:val="22"/>
              </w:rPr>
              <w:t xml:space="preserve"> position</w:t>
            </w:r>
          </w:p>
        </w:tc>
        <w:tc>
          <w:tcPr>
            <w:tcW w:w="2977" w:type="dxa"/>
            <w:shd w:val="clear" w:color="auto" w:fill="F2F2F2" w:themeFill="background1" w:themeFillShade="F2"/>
          </w:tcPr>
          <w:p w14:paraId="02E6B95A" w14:textId="77777777" w:rsidR="00216D69" w:rsidRDefault="00216D69" w:rsidP="00216D69">
            <w:pPr>
              <w:pStyle w:val="Default"/>
              <w:rPr>
                <w:rFonts w:ascii="Arial" w:hAnsi="Arial" w:cs="Arial"/>
                <w:sz w:val="22"/>
                <w:szCs w:val="22"/>
              </w:rPr>
            </w:pPr>
            <w:r w:rsidRPr="00593D86">
              <w:rPr>
                <w:rFonts w:ascii="Arial" w:hAnsi="Arial" w:cs="Arial"/>
                <w:sz w:val="22"/>
                <w:szCs w:val="22"/>
              </w:rPr>
              <w:t>Action Plan</w:t>
            </w:r>
          </w:p>
          <w:p w14:paraId="5D2F80F1" w14:textId="20743D5E" w:rsidR="00593D86" w:rsidRPr="00593D86" w:rsidRDefault="00593D86" w:rsidP="00216D69">
            <w:pPr>
              <w:pStyle w:val="Default"/>
              <w:rPr>
                <w:rFonts w:ascii="Arial" w:hAnsi="Arial" w:cs="Arial"/>
                <w:sz w:val="22"/>
                <w:szCs w:val="22"/>
              </w:rPr>
            </w:pPr>
          </w:p>
        </w:tc>
      </w:tr>
      <w:tr w:rsidR="005C75D4" w14:paraId="7561D9A9" w14:textId="77777777" w:rsidTr="005C75D4">
        <w:tc>
          <w:tcPr>
            <w:tcW w:w="1880" w:type="dxa"/>
            <w:vMerge w:val="restart"/>
          </w:tcPr>
          <w:p w14:paraId="00FB53B9" w14:textId="11F087C1" w:rsidR="005C75D4" w:rsidRPr="00593D86" w:rsidRDefault="005C75D4" w:rsidP="005C75D4">
            <w:pPr>
              <w:pStyle w:val="Default"/>
              <w:numPr>
                <w:ilvl w:val="0"/>
                <w:numId w:val="2"/>
              </w:numPr>
              <w:ind w:left="313" w:hanging="313"/>
              <w:rPr>
                <w:rFonts w:ascii="Arial" w:hAnsi="Arial" w:cs="Arial"/>
                <w:sz w:val="22"/>
                <w:szCs w:val="22"/>
              </w:rPr>
            </w:pPr>
            <w:r w:rsidRPr="00593D86">
              <w:rPr>
                <w:rFonts w:ascii="Arial" w:hAnsi="Arial" w:cs="Arial"/>
                <w:sz w:val="22"/>
                <w:szCs w:val="22"/>
              </w:rPr>
              <w:t>Acknowledge responsibility</w:t>
            </w:r>
          </w:p>
        </w:tc>
        <w:tc>
          <w:tcPr>
            <w:tcW w:w="4778" w:type="dxa"/>
          </w:tcPr>
          <w:p w14:paraId="44C78958" w14:textId="51D319E8" w:rsidR="005C75D4" w:rsidRPr="00593D86" w:rsidRDefault="005C75D4" w:rsidP="00216D69">
            <w:pPr>
              <w:pStyle w:val="Default"/>
              <w:rPr>
                <w:rFonts w:ascii="Arial" w:hAnsi="Arial" w:cs="Arial"/>
                <w:sz w:val="22"/>
                <w:szCs w:val="22"/>
              </w:rPr>
            </w:pPr>
            <w:r w:rsidRPr="00593D86">
              <w:rPr>
                <w:rFonts w:ascii="Arial" w:hAnsi="Arial" w:cs="Arial"/>
                <w:sz w:val="22"/>
                <w:szCs w:val="22"/>
              </w:rPr>
              <w:t xml:space="preserve">A1 The council's leadership team acknowledge the threats of fraud and corruption and the harm they can cause to the organisation, </w:t>
            </w:r>
            <w:r w:rsidR="00253ECD" w:rsidRPr="00593D86">
              <w:rPr>
                <w:rFonts w:ascii="Arial" w:hAnsi="Arial" w:cs="Arial"/>
                <w:sz w:val="22"/>
                <w:szCs w:val="22"/>
              </w:rPr>
              <w:t>its</w:t>
            </w:r>
            <w:r w:rsidRPr="00593D86">
              <w:rPr>
                <w:rFonts w:ascii="Arial" w:hAnsi="Arial" w:cs="Arial"/>
                <w:sz w:val="22"/>
                <w:szCs w:val="22"/>
              </w:rPr>
              <w:t xml:space="preserve"> aims and objectives and to its service users.</w:t>
            </w:r>
          </w:p>
        </w:tc>
        <w:tc>
          <w:tcPr>
            <w:tcW w:w="4394" w:type="dxa"/>
          </w:tcPr>
          <w:p w14:paraId="35ECDB17" w14:textId="0D5FD571" w:rsidR="005C75D4" w:rsidRPr="00593D86" w:rsidRDefault="00E23683" w:rsidP="00216D69">
            <w:pPr>
              <w:pStyle w:val="Default"/>
              <w:rPr>
                <w:rFonts w:ascii="Arial" w:hAnsi="Arial" w:cs="Arial"/>
                <w:sz w:val="22"/>
                <w:szCs w:val="22"/>
              </w:rPr>
            </w:pPr>
            <w:r>
              <w:rPr>
                <w:rFonts w:ascii="Arial" w:hAnsi="Arial" w:cs="Arial"/>
                <w:sz w:val="22"/>
                <w:szCs w:val="22"/>
              </w:rPr>
              <w:t>This is acknowledged in the council's anti-fraud policy and also through the council's Code of Conduct.</w:t>
            </w:r>
          </w:p>
        </w:tc>
        <w:tc>
          <w:tcPr>
            <w:tcW w:w="2977" w:type="dxa"/>
          </w:tcPr>
          <w:p w14:paraId="5A9DDE31" w14:textId="29DC5C61" w:rsidR="005C75D4" w:rsidRPr="00593D86" w:rsidRDefault="003A2155" w:rsidP="00216D69">
            <w:pPr>
              <w:pStyle w:val="Default"/>
              <w:rPr>
                <w:rFonts w:ascii="Arial" w:hAnsi="Arial" w:cs="Arial"/>
                <w:sz w:val="22"/>
                <w:szCs w:val="22"/>
              </w:rPr>
            </w:pPr>
            <w:r>
              <w:rPr>
                <w:rFonts w:ascii="Arial" w:hAnsi="Arial" w:cs="Arial"/>
                <w:sz w:val="22"/>
                <w:szCs w:val="22"/>
              </w:rPr>
              <w:t>N/A</w:t>
            </w:r>
          </w:p>
        </w:tc>
      </w:tr>
      <w:tr w:rsidR="003A2155" w14:paraId="6F7F9CE4" w14:textId="77777777" w:rsidTr="005C75D4">
        <w:tc>
          <w:tcPr>
            <w:tcW w:w="1880" w:type="dxa"/>
            <w:vMerge/>
          </w:tcPr>
          <w:p w14:paraId="0F7544E3" w14:textId="77777777" w:rsidR="003A2155" w:rsidRPr="00593D86" w:rsidRDefault="003A2155" w:rsidP="003A2155">
            <w:pPr>
              <w:pStyle w:val="Default"/>
              <w:rPr>
                <w:rFonts w:ascii="Arial" w:hAnsi="Arial" w:cs="Arial"/>
                <w:sz w:val="22"/>
                <w:szCs w:val="22"/>
              </w:rPr>
            </w:pPr>
          </w:p>
        </w:tc>
        <w:tc>
          <w:tcPr>
            <w:tcW w:w="4778" w:type="dxa"/>
          </w:tcPr>
          <w:p w14:paraId="20E070F7" w14:textId="29C977AC" w:rsidR="003A2155" w:rsidRPr="00593D86" w:rsidRDefault="003A2155" w:rsidP="003A2155">
            <w:pPr>
              <w:pStyle w:val="Default"/>
              <w:rPr>
                <w:rFonts w:ascii="Arial" w:hAnsi="Arial" w:cs="Arial"/>
                <w:sz w:val="22"/>
                <w:szCs w:val="22"/>
              </w:rPr>
            </w:pPr>
            <w:r w:rsidRPr="00593D86">
              <w:rPr>
                <w:rFonts w:ascii="Arial" w:hAnsi="Arial" w:cs="Arial"/>
                <w:sz w:val="22"/>
                <w:szCs w:val="22"/>
              </w:rPr>
              <w:t>A2 The council's leadership team acknowledge the importance of a culture that is resilient to the threats of fraud and corruption and aligns to the principles of good governance.</w:t>
            </w:r>
          </w:p>
        </w:tc>
        <w:tc>
          <w:tcPr>
            <w:tcW w:w="4394" w:type="dxa"/>
          </w:tcPr>
          <w:p w14:paraId="5D5A658E" w14:textId="4CF6036C" w:rsidR="003A2155" w:rsidRPr="00593D86" w:rsidRDefault="003A2155" w:rsidP="003A2155">
            <w:pPr>
              <w:pStyle w:val="Default"/>
              <w:rPr>
                <w:rFonts w:ascii="Arial" w:hAnsi="Arial" w:cs="Arial"/>
                <w:sz w:val="22"/>
                <w:szCs w:val="22"/>
              </w:rPr>
            </w:pPr>
            <w:r>
              <w:rPr>
                <w:rFonts w:ascii="Arial" w:hAnsi="Arial" w:cs="Arial"/>
                <w:sz w:val="22"/>
                <w:szCs w:val="22"/>
              </w:rPr>
              <w:t>This is acknowledged in the council's anti-fraud policy and also through the council's Code of Conduct.</w:t>
            </w:r>
          </w:p>
        </w:tc>
        <w:tc>
          <w:tcPr>
            <w:tcW w:w="2977" w:type="dxa"/>
          </w:tcPr>
          <w:p w14:paraId="6FF6F0C5" w14:textId="1B5249C5" w:rsidR="003A2155" w:rsidRPr="00593D86" w:rsidRDefault="003A2155" w:rsidP="003A2155">
            <w:pPr>
              <w:pStyle w:val="Default"/>
              <w:rPr>
                <w:rFonts w:ascii="Arial" w:hAnsi="Arial" w:cs="Arial"/>
                <w:sz w:val="22"/>
                <w:szCs w:val="22"/>
              </w:rPr>
            </w:pPr>
            <w:r w:rsidRPr="00C46F79">
              <w:rPr>
                <w:rFonts w:ascii="Arial" w:hAnsi="Arial" w:cs="Arial"/>
                <w:sz w:val="22"/>
                <w:szCs w:val="22"/>
              </w:rPr>
              <w:t>N/A</w:t>
            </w:r>
          </w:p>
        </w:tc>
      </w:tr>
      <w:tr w:rsidR="003A2155" w14:paraId="3B636B43" w14:textId="77777777" w:rsidTr="005C75D4">
        <w:tc>
          <w:tcPr>
            <w:tcW w:w="1880" w:type="dxa"/>
            <w:vMerge/>
          </w:tcPr>
          <w:p w14:paraId="41737C3E" w14:textId="77777777" w:rsidR="003A2155" w:rsidRPr="00593D86" w:rsidRDefault="003A2155" w:rsidP="003A2155">
            <w:pPr>
              <w:pStyle w:val="Default"/>
              <w:ind w:left="720"/>
              <w:rPr>
                <w:rFonts w:ascii="Arial" w:hAnsi="Arial" w:cs="Arial"/>
                <w:sz w:val="22"/>
                <w:szCs w:val="22"/>
              </w:rPr>
            </w:pPr>
          </w:p>
        </w:tc>
        <w:tc>
          <w:tcPr>
            <w:tcW w:w="4778" w:type="dxa"/>
          </w:tcPr>
          <w:p w14:paraId="067226B3" w14:textId="1025160A" w:rsidR="003A2155" w:rsidRPr="00593D86" w:rsidRDefault="003A2155" w:rsidP="003A2155">
            <w:pPr>
              <w:pStyle w:val="Default"/>
              <w:rPr>
                <w:rFonts w:ascii="Arial" w:hAnsi="Arial" w:cs="Arial"/>
                <w:sz w:val="22"/>
                <w:szCs w:val="22"/>
              </w:rPr>
            </w:pPr>
            <w:r w:rsidRPr="00593D86">
              <w:rPr>
                <w:rFonts w:ascii="Arial" w:hAnsi="Arial" w:cs="Arial"/>
                <w:sz w:val="22"/>
                <w:szCs w:val="22"/>
              </w:rPr>
              <w:t>A3 The governing body acknowledges its responsibility for ensuring the management of its fraud and corruption risks and will be accountable for the actions it takes through its governance reports.</w:t>
            </w:r>
            <w:bookmarkStart w:id="0" w:name="_GoBack"/>
            <w:bookmarkEnd w:id="0"/>
          </w:p>
        </w:tc>
        <w:tc>
          <w:tcPr>
            <w:tcW w:w="4394" w:type="dxa"/>
          </w:tcPr>
          <w:p w14:paraId="5276D706" w14:textId="77777777" w:rsidR="003A2155" w:rsidRDefault="003A2155" w:rsidP="003A2155">
            <w:pPr>
              <w:pStyle w:val="Default"/>
              <w:rPr>
                <w:rFonts w:ascii="Arial" w:hAnsi="Arial" w:cs="Arial"/>
                <w:sz w:val="22"/>
                <w:szCs w:val="22"/>
              </w:rPr>
            </w:pPr>
            <w:r>
              <w:rPr>
                <w:rFonts w:ascii="Arial" w:hAnsi="Arial" w:cs="Arial"/>
                <w:sz w:val="22"/>
                <w:szCs w:val="22"/>
              </w:rPr>
              <w:t>The annual governance report where appropriate refers to fraud and corruption risks and actions.</w:t>
            </w:r>
          </w:p>
          <w:p w14:paraId="3423E476" w14:textId="0042F7CF" w:rsidR="003A2155" w:rsidRPr="00640F90" w:rsidRDefault="003A2155" w:rsidP="003A2155">
            <w:pPr>
              <w:rPr>
                <w:rFonts w:ascii="Arial" w:hAnsi="Arial" w:cs="Arial"/>
                <w:color w:val="000000"/>
              </w:rPr>
            </w:pPr>
            <w:r>
              <w:rPr>
                <w:rFonts w:ascii="Arial" w:hAnsi="Arial" w:cs="Arial"/>
                <w:color w:val="000000"/>
              </w:rPr>
              <w:t>The Audit and G</w:t>
            </w:r>
            <w:r w:rsidRPr="00640F90">
              <w:rPr>
                <w:rFonts w:ascii="Arial" w:hAnsi="Arial" w:cs="Arial"/>
                <w:color w:val="000000"/>
              </w:rPr>
              <w:t xml:space="preserve">overnance Committee's agreed terms of reference includes the responsibility to monitor the effectiveness of the council's strategies to counter fraud </w:t>
            </w:r>
          </w:p>
          <w:p w14:paraId="60005031" w14:textId="77777777" w:rsidR="003A2155" w:rsidRPr="00640F90" w:rsidRDefault="003A2155" w:rsidP="003A2155">
            <w:pPr>
              <w:ind w:firstLine="33"/>
              <w:rPr>
                <w:rFonts w:ascii="Arial" w:hAnsi="Arial" w:cs="Arial"/>
                <w:color w:val="000000"/>
              </w:rPr>
            </w:pPr>
            <w:r w:rsidRPr="00640F90">
              <w:rPr>
                <w:rFonts w:ascii="Arial" w:hAnsi="Arial" w:cs="Arial"/>
                <w:color w:val="000000"/>
              </w:rPr>
              <w:t xml:space="preserve">and corruption. </w:t>
            </w:r>
          </w:p>
          <w:p w14:paraId="64436223" w14:textId="1C338D21" w:rsidR="003A2155" w:rsidRPr="00593D86" w:rsidRDefault="003A2155" w:rsidP="003A2155">
            <w:pPr>
              <w:pStyle w:val="Default"/>
              <w:rPr>
                <w:rFonts w:ascii="Arial" w:hAnsi="Arial" w:cs="Arial"/>
                <w:sz w:val="22"/>
                <w:szCs w:val="22"/>
              </w:rPr>
            </w:pPr>
          </w:p>
        </w:tc>
        <w:tc>
          <w:tcPr>
            <w:tcW w:w="2977" w:type="dxa"/>
          </w:tcPr>
          <w:p w14:paraId="0818D300" w14:textId="6549074B" w:rsidR="003A2155" w:rsidRPr="00593D86" w:rsidRDefault="00893DDC" w:rsidP="003A2155">
            <w:pPr>
              <w:pStyle w:val="Default"/>
              <w:rPr>
                <w:rFonts w:ascii="Arial" w:hAnsi="Arial" w:cs="Arial"/>
                <w:sz w:val="22"/>
                <w:szCs w:val="22"/>
              </w:rPr>
            </w:pPr>
            <w:r>
              <w:rPr>
                <w:rFonts w:ascii="Arial" w:hAnsi="Arial" w:cs="Arial"/>
                <w:sz w:val="22"/>
                <w:szCs w:val="22"/>
              </w:rPr>
              <w:t xml:space="preserve">As recommended in the code, consideration will be given to including a </w:t>
            </w:r>
            <w:r w:rsidRPr="006D6640">
              <w:rPr>
                <w:rFonts w:ascii="Arial" w:hAnsi="Arial" w:cs="Arial"/>
                <w:sz w:val="22"/>
                <w:szCs w:val="22"/>
              </w:rPr>
              <w:t>reference to the CIPFA Code of Practice in future annual governance reports.</w:t>
            </w:r>
          </w:p>
        </w:tc>
      </w:tr>
      <w:tr w:rsidR="003A2155" w14:paraId="7BAA0826" w14:textId="77777777" w:rsidTr="005C75D4">
        <w:tc>
          <w:tcPr>
            <w:tcW w:w="1880" w:type="dxa"/>
            <w:vMerge/>
          </w:tcPr>
          <w:p w14:paraId="5FEA9A52" w14:textId="77777777" w:rsidR="003A2155" w:rsidRPr="00593D86" w:rsidRDefault="003A2155" w:rsidP="003A2155">
            <w:pPr>
              <w:pStyle w:val="Default"/>
              <w:ind w:left="720"/>
              <w:rPr>
                <w:rFonts w:ascii="Arial" w:hAnsi="Arial" w:cs="Arial"/>
                <w:sz w:val="22"/>
                <w:szCs w:val="22"/>
              </w:rPr>
            </w:pPr>
          </w:p>
        </w:tc>
        <w:tc>
          <w:tcPr>
            <w:tcW w:w="4778" w:type="dxa"/>
          </w:tcPr>
          <w:p w14:paraId="462F364C" w14:textId="12FF922B" w:rsidR="003A2155" w:rsidRPr="00593D86" w:rsidRDefault="003A2155" w:rsidP="003A2155">
            <w:pPr>
              <w:pStyle w:val="Default"/>
              <w:rPr>
                <w:rFonts w:ascii="Arial" w:hAnsi="Arial" w:cs="Arial"/>
                <w:sz w:val="22"/>
                <w:szCs w:val="22"/>
              </w:rPr>
            </w:pPr>
            <w:r>
              <w:rPr>
                <w:rFonts w:ascii="Arial" w:hAnsi="Arial" w:cs="Arial"/>
                <w:sz w:val="22"/>
                <w:szCs w:val="22"/>
              </w:rPr>
              <w:t xml:space="preserve">A4 </w:t>
            </w:r>
            <w:r w:rsidRPr="00593D86">
              <w:rPr>
                <w:rFonts w:ascii="Arial" w:hAnsi="Arial" w:cs="Arial"/>
                <w:sz w:val="22"/>
                <w:szCs w:val="22"/>
              </w:rPr>
              <w:t>The governing body sets a specific goal of ensuring and maintaining its resilience to fraud and corruption and explores opportunities for financial savings from enhanced fraud detection and prevention.</w:t>
            </w:r>
          </w:p>
        </w:tc>
        <w:tc>
          <w:tcPr>
            <w:tcW w:w="4394" w:type="dxa"/>
          </w:tcPr>
          <w:p w14:paraId="1C42DAC7" w14:textId="72394593" w:rsidR="003A2155" w:rsidRPr="00593D86" w:rsidRDefault="003A2155" w:rsidP="003A2155">
            <w:pPr>
              <w:rPr>
                <w:rFonts w:ascii="Arial" w:hAnsi="Arial" w:cs="Arial"/>
              </w:rPr>
            </w:pPr>
            <w:r>
              <w:rPr>
                <w:rFonts w:ascii="Arial" w:hAnsi="Arial" w:cs="Arial"/>
                <w:color w:val="000000"/>
              </w:rPr>
              <w:t>Whilst a specific goal is not set the Audit and G</w:t>
            </w:r>
            <w:r w:rsidRPr="00640F90">
              <w:rPr>
                <w:rFonts w:ascii="Arial" w:hAnsi="Arial" w:cs="Arial"/>
                <w:color w:val="000000"/>
              </w:rPr>
              <w:t>overnance Committee</w:t>
            </w:r>
            <w:r>
              <w:rPr>
                <w:rFonts w:ascii="Arial" w:hAnsi="Arial" w:cs="Arial"/>
                <w:color w:val="000000"/>
              </w:rPr>
              <w:t xml:space="preserve"> have responsibility for ensuring the council's exposure to fraud risks is appropriate. </w:t>
            </w:r>
          </w:p>
        </w:tc>
        <w:tc>
          <w:tcPr>
            <w:tcW w:w="2977" w:type="dxa"/>
          </w:tcPr>
          <w:p w14:paraId="4BCFBD9D" w14:textId="6A2A5459" w:rsidR="003A2155" w:rsidRPr="00593D86" w:rsidRDefault="003A2155" w:rsidP="003A2155">
            <w:pPr>
              <w:pStyle w:val="Default"/>
              <w:rPr>
                <w:rFonts w:ascii="Arial" w:hAnsi="Arial" w:cs="Arial"/>
                <w:sz w:val="22"/>
                <w:szCs w:val="22"/>
              </w:rPr>
            </w:pPr>
            <w:r w:rsidRPr="00C46F79">
              <w:rPr>
                <w:rFonts w:ascii="Arial" w:hAnsi="Arial" w:cs="Arial"/>
                <w:sz w:val="22"/>
                <w:szCs w:val="22"/>
              </w:rPr>
              <w:t>N/A</w:t>
            </w:r>
          </w:p>
        </w:tc>
      </w:tr>
      <w:tr w:rsidR="003A2155" w14:paraId="3EDA6683" w14:textId="77777777" w:rsidTr="005C75D4">
        <w:tc>
          <w:tcPr>
            <w:tcW w:w="1880" w:type="dxa"/>
            <w:vMerge w:val="restart"/>
          </w:tcPr>
          <w:p w14:paraId="68E49419" w14:textId="77777777" w:rsidR="003A2155" w:rsidRPr="00593D86" w:rsidRDefault="003A2155" w:rsidP="003A2155">
            <w:pPr>
              <w:pStyle w:val="Default"/>
              <w:numPr>
                <w:ilvl w:val="0"/>
                <w:numId w:val="2"/>
              </w:numPr>
              <w:ind w:left="313" w:hanging="313"/>
              <w:rPr>
                <w:rFonts w:ascii="Arial" w:hAnsi="Arial" w:cs="Arial"/>
                <w:sz w:val="22"/>
                <w:szCs w:val="22"/>
              </w:rPr>
            </w:pPr>
            <w:r w:rsidRPr="00593D86">
              <w:rPr>
                <w:rFonts w:ascii="Arial" w:hAnsi="Arial" w:cs="Arial"/>
                <w:sz w:val="22"/>
                <w:szCs w:val="22"/>
              </w:rPr>
              <w:t>Identify risks</w:t>
            </w:r>
          </w:p>
          <w:p w14:paraId="45E81CC2" w14:textId="44143ACA" w:rsidR="003A2155" w:rsidRPr="00593D86" w:rsidRDefault="003A2155" w:rsidP="003A2155">
            <w:pPr>
              <w:pStyle w:val="Default"/>
              <w:ind w:left="313"/>
              <w:rPr>
                <w:rFonts w:ascii="Arial" w:hAnsi="Arial" w:cs="Arial"/>
                <w:sz w:val="22"/>
                <w:szCs w:val="22"/>
              </w:rPr>
            </w:pPr>
          </w:p>
        </w:tc>
        <w:tc>
          <w:tcPr>
            <w:tcW w:w="4778" w:type="dxa"/>
          </w:tcPr>
          <w:p w14:paraId="74A41BC2" w14:textId="59BCCC17" w:rsidR="003A2155" w:rsidRPr="007A6131" w:rsidRDefault="003A2155" w:rsidP="003A2155">
            <w:pPr>
              <w:pStyle w:val="Pa2"/>
              <w:spacing w:after="140"/>
              <w:rPr>
                <w:rFonts w:ascii="Arial" w:hAnsi="Arial" w:cs="Arial"/>
                <w:color w:val="000000"/>
                <w:sz w:val="22"/>
                <w:szCs w:val="22"/>
              </w:rPr>
            </w:pPr>
            <w:r w:rsidRPr="00593D86">
              <w:rPr>
                <w:rFonts w:ascii="Arial" w:hAnsi="Arial" w:cs="Arial"/>
                <w:color w:val="000000"/>
                <w:sz w:val="22"/>
                <w:szCs w:val="22"/>
              </w:rPr>
              <w:t xml:space="preserve">B1 Fraud risks are routinely considered as part of the organisation’s risk management arrangements. </w:t>
            </w:r>
          </w:p>
        </w:tc>
        <w:tc>
          <w:tcPr>
            <w:tcW w:w="4394" w:type="dxa"/>
          </w:tcPr>
          <w:p w14:paraId="56C9E726" w14:textId="57955186" w:rsidR="003A2155" w:rsidRPr="00593D86" w:rsidRDefault="003A2155" w:rsidP="003A2155">
            <w:pPr>
              <w:pStyle w:val="Default"/>
              <w:rPr>
                <w:rFonts w:ascii="Arial" w:hAnsi="Arial" w:cs="Arial"/>
                <w:sz w:val="22"/>
                <w:szCs w:val="22"/>
              </w:rPr>
            </w:pPr>
            <w:r>
              <w:rPr>
                <w:rFonts w:ascii="Arial" w:hAnsi="Arial" w:cs="Arial"/>
                <w:sz w:val="22"/>
                <w:szCs w:val="22"/>
              </w:rPr>
              <w:t>An annual fraud r</w:t>
            </w:r>
            <w:r w:rsidR="006D6640">
              <w:rPr>
                <w:rFonts w:ascii="Arial" w:hAnsi="Arial" w:cs="Arial"/>
                <w:sz w:val="22"/>
                <w:szCs w:val="22"/>
              </w:rPr>
              <w:t>isk assessment is completed by internal a</w:t>
            </w:r>
            <w:r>
              <w:rPr>
                <w:rFonts w:ascii="Arial" w:hAnsi="Arial" w:cs="Arial"/>
                <w:sz w:val="22"/>
                <w:szCs w:val="22"/>
              </w:rPr>
              <w:t>udit based on their knowledge of the organisation and the</w:t>
            </w:r>
            <w:r w:rsidR="006D6640">
              <w:rPr>
                <w:rFonts w:ascii="Arial" w:hAnsi="Arial" w:cs="Arial"/>
                <w:sz w:val="22"/>
                <w:szCs w:val="22"/>
              </w:rPr>
              <w:t xml:space="preserve"> associated</w:t>
            </w:r>
            <w:r>
              <w:rPr>
                <w:rFonts w:ascii="Arial" w:hAnsi="Arial" w:cs="Arial"/>
                <w:sz w:val="22"/>
                <w:szCs w:val="22"/>
              </w:rPr>
              <w:t xml:space="preserve"> fraud risks.</w:t>
            </w:r>
          </w:p>
        </w:tc>
        <w:tc>
          <w:tcPr>
            <w:tcW w:w="2977" w:type="dxa"/>
          </w:tcPr>
          <w:p w14:paraId="1AB57872" w14:textId="0B2F13D5" w:rsidR="003A2155" w:rsidRPr="00593D86" w:rsidRDefault="003A2155" w:rsidP="003A2155">
            <w:pPr>
              <w:pStyle w:val="Default"/>
              <w:rPr>
                <w:rFonts w:ascii="Arial" w:hAnsi="Arial" w:cs="Arial"/>
                <w:sz w:val="22"/>
                <w:szCs w:val="22"/>
              </w:rPr>
            </w:pPr>
            <w:r w:rsidRPr="000412DD">
              <w:rPr>
                <w:rFonts w:ascii="Arial" w:hAnsi="Arial" w:cs="Arial"/>
                <w:sz w:val="22"/>
                <w:szCs w:val="22"/>
              </w:rPr>
              <w:t>N/A</w:t>
            </w:r>
          </w:p>
        </w:tc>
      </w:tr>
      <w:tr w:rsidR="003A2155" w14:paraId="031D066D" w14:textId="77777777" w:rsidTr="005C75D4">
        <w:tc>
          <w:tcPr>
            <w:tcW w:w="1880" w:type="dxa"/>
            <w:vMerge/>
          </w:tcPr>
          <w:p w14:paraId="5CD9C799" w14:textId="77777777" w:rsidR="003A2155" w:rsidRPr="00593D86" w:rsidRDefault="003A2155" w:rsidP="003A2155">
            <w:pPr>
              <w:pStyle w:val="Default"/>
              <w:ind w:left="313"/>
              <w:rPr>
                <w:rFonts w:ascii="Arial" w:hAnsi="Arial" w:cs="Arial"/>
                <w:sz w:val="22"/>
                <w:szCs w:val="22"/>
              </w:rPr>
            </w:pPr>
          </w:p>
        </w:tc>
        <w:tc>
          <w:tcPr>
            <w:tcW w:w="4778" w:type="dxa"/>
          </w:tcPr>
          <w:p w14:paraId="29CB23A8" w14:textId="30E57DAC" w:rsidR="003A2155" w:rsidRPr="00593D86" w:rsidRDefault="003A2155" w:rsidP="003A2155">
            <w:pPr>
              <w:pStyle w:val="Pa2"/>
              <w:spacing w:after="140"/>
              <w:rPr>
                <w:rFonts w:ascii="Arial" w:hAnsi="Arial" w:cs="Arial"/>
                <w:color w:val="000000"/>
                <w:sz w:val="22"/>
                <w:szCs w:val="22"/>
              </w:rPr>
            </w:pPr>
            <w:r w:rsidRPr="00593D86">
              <w:rPr>
                <w:rFonts w:ascii="Arial" w:hAnsi="Arial" w:cs="Arial"/>
                <w:color w:val="000000"/>
                <w:sz w:val="22"/>
                <w:szCs w:val="22"/>
              </w:rPr>
              <w:t xml:space="preserve">B2 The organisation identifies the risks of corruption and the importance of behaving with integrity in its governance framework. </w:t>
            </w:r>
          </w:p>
        </w:tc>
        <w:tc>
          <w:tcPr>
            <w:tcW w:w="4394" w:type="dxa"/>
          </w:tcPr>
          <w:p w14:paraId="2F8E876E" w14:textId="77777777" w:rsidR="003A2155" w:rsidRDefault="003A2155" w:rsidP="003A2155">
            <w:pPr>
              <w:pStyle w:val="Default"/>
              <w:rPr>
                <w:rFonts w:ascii="Arial" w:hAnsi="Arial" w:cs="Arial"/>
                <w:sz w:val="22"/>
                <w:szCs w:val="22"/>
              </w:rPr>
            </w:pPr>
            <w:r>
              <w:rPr>
                <w:rFonts w:ascii="Arial" w:hAnsi="Arial" w:cs="Arial"/>
                <w:sz w:val="22"/>
                <w:szCs w:val="22"/>
              </w:rPr>
              <w:t xml:space="preserve">The council has identified the risk of fraud and corruption in its anti-fraud strategy and policy. The council's Code of Conduct sets out the behaviours expected of staff and makes clear the need to act with integrity. The Code of Conduct is communicated to all staff on a regular basis. </w:t>
            </w:r>
          </w:p>
          <w:p w14:paraId="7123AD29" w14:textId="55F87289" w:rsidR="003A2155" w:rsidRPr="00593D86" w:rsidRDefault="003A2155" w:rsidP="003A2155">
            <w:pPr>
              <w:pStyle w:val="Default"/>
              <w:rPr>
                <w:rFonts w:ascii="Arial" w:hAnsi="Arial" w:cs="Arial"/>
                <w:sz w:val="22"/>
                <w:szCs w:val="22"/>
              </w:rPr>
            </w:pPr>
            <w:r>
              <w:rPr>
                <w:rFonts w:ascii="Arial" w:hAnsi="Arial" w:cs="Arial"/>
                <w:sz w:val="22"/>
                <w:szCs w:val="22"/>
              </w:rPr>
              <w:t>A fraud awareness e-learning course is to be rolled out to relevant staff throughout the council.</w:t>
            </w:r>
          </w:p>
        </w:tc>
        <w:tc>
          <w:tcPr>
            <w:tcW w:w="2977" w:type="dxa"/>
          </w:tcPr>
          <w:p w14:paraId="00B6E287" w14:textId="6ECE3A27" w:rsidR="003A2155" w:rsidRPr="00593D86" w:rsidRDefault="006D6640" w:rsidP="003A2155">
            <w:pPr>
              <w:pStyle w:val="Default"/>
              <w:rPr>
                <w:rFonts w:ascii="Arial" w:hAnsi="Arial" w:cs="Arial"/>
                <w:sz w:val="22"/>
                <w:szCs w:val="22"/>
              </w:rPr>
            </w:pPr>
            <w:r>
              <w:rPr>
                <w:rFonts w:ascii="Arial" w:hAnsi="Arial" w:cs="Arial"/>
                <w:sz w:val="22"/>
                <w:szCs w:val="22"/>
              </w:rPr>
              <w:t>A fraud awareness e-Learning course will be rolled out to key staff during 2015.</w:t>
            </w:r>
          </w:p>
        </w:tc>
      </w:tr>
      <w:tr w:rsidR="003A2155" w14:paraId="37C17F9C" w14:textId="77777777" w:rsidTr="005C75D4">
        <w:tc>
          <w:tcPr>
            <w:tcW w:w="1880" w:type="dxa"/>
            <w:vMerge/>
          </w:tcPr>
          <w:p w14:paraId="3F4EBEC6" w14:textId="77777777" w:rsidR="003A2155" w:rsidRPr="00593D86" w:rsidRDefault="003A2155" w:rsidP="003A2155">
            <w:pPr>
              <w:pStyle w:val="Default"/>
              <w:ind w:left="313"/>
              <w:rPr>
                <w:rFonts w:ascii="Arial" w:hAnsi="Arial" w:cs="Arial"/>
                <w:sz w:val="22"/>
                <w:szCs w:val="22"/>
              </w:rPr>
            </w:pPr>
          </w:p>
        </w:tc>
        <w:tc>
          <w:tcPr>
            <w:tcW w:w="4778" w:type="dxa"/>
          </w:tcPr>
          <w:p w14:paraId="70D8FC44" w14:textId="77777777" w:rsidR="003A2155" w:rsidRPr="00593D86" w:rsidRDefault="003A2155" w:rsidP="003A2155">
            <w:pPr>
              <w:pStyle w:val="Pa2"/>
              <w:spacing w:after="140"/>
              <w:rPr>
                <w:rFonts w:ascii="Arial" w:hAnsi="Arial" w:cs="Arial"/>
                <w:color w:val="000000"/>
                <w:sz w:val="22"/>
                <w:szCs w:val="22"/>
              </w:rPr>
            </w:pPr>
            <w:r w:rsidRPr="00593D86">
              <w:rPr>
                <w:rFonts w:ascii="Arial" w:hAnsi="Arial" w:cs="Arial"/>
                <w:color w:val="000000"/>
                <w:sz w:val="22"/>
                <w:szCs w:val="22"/>
              </w:rPr>
              <w:t xml:space="preserve">B3 The organisation uses published estimates of fraud loss, and where appropriate its own measurement exercises, to aid its evaluation of fraud risk exposures. </w:t>
            </w:r>
          </w:p>
          <w:p w14:paraId="4AF97A76" w14:textId="77777777" w:rsidR="003A2155" w:rsidRPr="00593D86" w:rsidRDefault="003A2155" w:rsidP="003A2155">
            <w:pPr>
              <w:pStyle w:val="Default"/>
              <w:rPr>
                <w:rFonts w:ascii="Arial" w:hAnsi="Arial" w:cs="Arial"/>
                <w:sz w:val="22"/>
                <w:szCs w:val="22"/>
              </w:rPr>
            </w:pPr>
          </w:p>
        </w:tc>
        <w:tc>
          <w:tcPr>
            <w:tcW w:w="4394" w:type="dxa"/>
          </w:tcPr>
          <w:p w14:paraId="5FDBD41C" w14:textId="41DD1223" w:rsidR="003A2155" w:rsidRPr="00593D86" w:rsidRDefault="003A2155" w:rsidP="003A2155">
            <w:pPr>
              <w:pStyle w:val="Default"/>
              <w:rPr>
                <w:rFonts w:ascii="Arial" w:hAnsi="Arial" w:cs="Arial"/>
                <w:sz w:val="22"/>
                <w:szCs w:val="22"/>
              </w:rPr>
            </w:pPr>
            <w:r>
              <w:rPr>
                <w:rFonts w:ascii="Arial" w:hAnsi="Arial" w:cs="Arial"/>
                <w:sz w:val="22"/>
                <w:szCs w:val="22"/>
              </w:rPr>
              <w:t>The annual fraud risk assessment incorporates information on fraud risks from a wide range of internal and external sources including CIPFA, NAFN, Greater Manchester Council Fraud Group and the Audit Commissions Protecting the Public Purse report.</w:t>
            </w:r>
          </w:p>
        </w:tc>
        <w:tc>
          <w:tcPr>
            <w:tcW w:w="2977" w:type="dxa"/>
          </w:tcPr>
          <w:p w14:paraId="0F652ECF" w14:textId="4FF9528C" w:rsidR="003A2155" w:rsidRPr="00593D86" w:rsidRDefault="003A2155" w:rsidP="003A2155">
            <w:pPr>
              <w:pStyle w:val="Default"/>
              <w:rPr>
                <w:rFonts w:ascii="Arial" w:hAnsi="Arial" w:cs="Arial"/>
                <w:sz w:val="22"/>
                <w:szCs w:val="22"/>
              </w:rPr>
            </w:pPr>
            <w:r w:rsidRPr="000412DD">
              <w:rPr>
                <w:rFonts w:ascii="Arial" w:hAnsi="Arial" w:cs="Arial"/>
                <w:sz w:val="22"/>
                <w:szCs w:val="22"/>
              </w:rPr>
              <w:t>N/A</w:t>
            </w:r>
          </w:p>
        </w:tc>
      </w:tr>
      <w:tr w:rsidR="003A2155" w14:paraId="19938806" w14:textId="77777777" w:rsidTr="005C75D4">
        <w:tc>
          <w:tcPr>
            <w:tcW w:w="1880" w:type="dxa"/>
            <w:vMerge/>
          </w:tcPr>
          <w:p w14:paraId="1549574B" w14:textId="77777777" w:rsidR="003A2155" w:rsidRPr="00593D86" w:rsidRDefault="003A2155" w:rsidP="003A2155">
            <w:pPr>
              <w:pStyle w:val="Default"/>
              <w:ind w:left="313"/>
              <w:rPr>
                <w:rFonts w:ascii="Arial" w:hAnsi="Arial" w:cs="Arial"/>
                <w:sz w:val="22"/>
                <w:szCs w:val="22"/>
              </w:rPr>
            </w:pPr>
          </w:p>
        </w:tc>
        <w:tc>
          <w:tcPr>
            <w:tcW w:w="4778" w:type="dxa"/>
          </w:tcPr>
          <w:p w14:paraId="39A6A6FF" w14:textId="478A81F7" w:rsidR="003A2155" w:rsidRPr="00593D86" w:rsidRDefault="003A2155" w:rsidP="003A2155">
            <w:pPr>
              <w:pStyle w:val="Default"/>
              <w:rPr>
                <w:rFonts w:ascii="Arial" w:hAnsi="Arial" w:cs="Arial"/>
                <w:sz w:val="22"/>
                <w:szCs w:val="22"/>
              </w:rPr>
            </w:pPr>
            <w:r w:rsidRPr="00593D86">
              <w:rPr>
                <w:rFonts w:ascii="Arial" w:hAnsi="Arial" w:cs="Arial"/>
                <w:sz w:val="22"/>
                <w:szCs w:val="22"/>
              </w:rPr>
              <w:t>B4 The organisation evaluates the harm to its aims and objectives and service users that different fraud risks can cause.</w:t>
            </w:r>
          </w:p>
        </w:tc>
        <w:tc>
          <w:tcPr>
            <w:tcW w:w="4394" w:type="dxa"/>
          </w:tcPr>
          <w:p w14:paraId="49615ACE" w14:textId="7847D41A" w:rsidR="003A2155" w:rsidRPr="00593D86" w:rsidRDefault="003A2155" w:rsidP="003A2155">
            <w:pPr>
              <w:pStyle w:val="Default"/>
              <w:rPr>
                <w:rFonts w:ascii="Arial" w:hAnsi="Arial" w:cs="Arial"/>
                <w:sz w:val="22"/>
                <w:szCs w:val="22"/>
              </w:rPr>
            </w:pPr>
            <w:r>
              <w:rPr>
                <w:rFonts w:ascii="Arial" w:hAnsi="Arial" w:cs="Arial"/>
                <w:sz w:val="22"/>
                <w:szCs w:val="22"/>
              </w:rPr>
              <w:t>The impact of each fraud risk is considered as part of the fraud risk assessment.</w:t>
            </w:r>
          </w:p>
        </w:tc>
        <w:tc>
          <w:tcPr>
            <w:tcW w:w="2977" w:type="dxa"/>
          </w:tcPr>
          <w:p w14:paraId="36E56654" w14:textId="2AE0B567" w:rsidR="003A2155" w:rsidRPr="00593D86" w:rsidRDefault="003A2155" w:rsidP="003A2155">
            <w:pPr>
              <w:pStyle w:val="Default"/>
              <w:rPr>
                <w:rFonts w:ascii="Arial" w:hAnsi="Arial" w:cs="Arial"/>
                <w:sz w:val="22"/>
                <w:szCs w:val="22"/>
              </w:rPr>
            </w:pPr>
            <w:r w:rsidRPr="000412DD">
              <w:rPr>
                <w:rFonts w:ascii="Arial" w:hAnsi="Arial" w:cs="Arial"/>
                <w:sz w:val="22"/>
                <w:szCs w:val="22"/>
              </w:rPr>
              <w:t>N/A</w:t>
            </w:r>
          </w:p>
        </w:tc>
      </w:tr>
      <w:tr w:rsidR="00593D86" w14:paraId="619F91EF" w14:textId="77777777" w:rsidTr="005C75D4">
        <w:tc>
          <w:tcPr>
            <w:tcW w:w="1880" w:type="dxa"/>
            <w:vMerge w:val="restart"/>
          </w:tcPr>
          <w:p w14:paraId="5B9B72CD" w14:textId="3FC33E5F" w:rsidR="00593D86" w:rsidRPr="00593D86" w:rsidRDefault="00593D86" w:rsidP="005C75D4">
            <w:pPr>
              <w:pStyle w:val="Default"/>
              <w:numPr>
                <w:ilvl w:val="0"/>
                <w:numId w:val="2"/>
              </w:numPr>
              <w:ind w:left="313" w:hanging="313"/>
              <w:rPr>
                <w:rFonts w:ascii="Arial" w:hAnsi="Arial" w:cs="Arial"/>
                <w:sz w:val="22"/>
                <w:szCs w:val="22"/>
              </w:rPr>
            </w:pPr>
            <w:r w:rsidRPr="00593D86">
              <w:rPr>
                <w:rFonts w:ascii="Arial" w:hAnsi="Arial" w:cs="Arial"/>
                <w:sz w:val="22"/>
                <w:szCs w:val="22"/>
              </w:rPr>
              <w:t>Develop a strategy</w:t>
            </w:r>
          </w:p>
        </w:tc>
        <w:tc>
          <w:tcPr>
            <w:tcW w:w="4778" w:type="dxa"/>
          </w:tcPr>
          <w:p w14:paraId="46829545" w14:textId="77777777" w:rsidR="00593D86" w:rsidRPr="00593D86" w:rsidRDefault="00593D86" w:rsidP="000830B8">
            <w:pPr>
              <w:pStyle w:val="Pa2"/>
              <w:spacing w:after="140"/>
              <w:rPr>
                <w:rFonts w:ascii="Arial" w:hAnsi="Arial" w:cs="Arial"/>
                <w:color w:val="000000"/>
                <w:sz w:val="22"/>
                <w:szCs w:val="22"/>
              </w:rPr>
            </w:pPr>
            <w:r w:rsidRPr="00593D86">
              <w:rPr>
                <w:rFonts w:ascii="Arial" w:hAnsi="Arial" w:cs="Arial"/>
                <w:color w:val="000000"/>
                <w:sz w:val="22"/>
                <w:szCs w:val="22"/>
              </w:rPr>
              <w:t xml:space="preserve">C1 The governing body formally adopts a counter fraud and corruption strategy to address the identified risks and align with the organisation’s acknowledged responsibilities and goals. </w:t>
            </w:r>
          </w:p>
          <w:p w14:paraId="758FF9B0" w14:textId="44212C9B" w:rsidR="00593D86" w:rsidRPr="00593D86" w:rsidRDefault="00593D86" w:rsidP="000830B8">
            <w:pPr>
              <w:pStyle w:val="Pa2"/>
              <w:spacing w:after="140"/>
              <w:rPr>
                <w:rFonts w:ascii="Arial" w:hAnsi="Arial" w:cs="Arial"/>
                <w:sz w:val="22"/>
                <w:szCs w:val="22"/>
              </w:rPr>
            </w:pPr>
          </w:p>
        </w:tc>
        <w:tc>
          <w:tcPr>
            <w:tcW w:w="4394" w:type="dxa"/>
          </w:tcPr>
          <w:p w14:paraId="2F6ABF43" w14:textId="063F65AD" w:rsidR="00593D86" w:rsidRPr="00593D86" w:rsidRDefault="00120623" w:rsidP="00120623">
            <w:pPr>
              <w:pStyle w:val="Default"/>
              <w:rPr>
                <w:rFonts w:ascii="Arial" w:hAnsi="Arial" w:cs="Arial"/>
                <w:sz w:val="22"/>
                <w:szCs w:val="22"/>
              </w:rPr>
            </w:pPr>
            <w:r>
              <w:rPr>
                <w:rFonts w:ascii="Arial" w:hAnsi="Arial" w:cs="Arial"/>
                <w:sz w:val="22"/>
                <w:szCs w:val="22"/>
              </w:rPr>
              <w:t xml:space="preserve">The council has an anti-fraud strategy and policy. The documents remain relevant but require updating to account for revised job titles and roles and responsibilities. </w:t>
            </w:r>
          </w:p>
        </w:tc>
        <w:tc>
          <w:tcPr>
            <w:tcW w:w="2977" w:type="dxa"/>
          </w:tcPr>
          <w:p w14:paraId="2D383D97" w14:textId="0E6C02F8" w:rsidR="00593D86" w:rsidRPr="00593D86" w:rsidRDefault="00120623" w:rsidP="00216D69">
            <w:pPr>
              <w:pStyle w:val="Default"/>
              <w:rPr>
                <w:rFonts w:ascii="Arial" w:hAnsi="Arial" w:cs="Arial"/>
                <w:sz w:val="22"/>
                <w:szCs w:val="22"/>
              </w:rPr>
            </w:pPr>
            <w:r>
              <w:rPr>
                <w:rFonts w:ascii="Arial" w:hAnsi="Arial" w:cs="Arial"/>
                <w:sz w:val="22"/>
                <w:szCs w:val="22"/>
              </w:rPr>
              <w:t>It is intended that this strategy and policy will be reviewed following the Phase 1 restructure.</w:t>
            </w:r>
          </w:p>
        </w:tc>
      </w:tr>
      <w:tr w:rsidR="003A2155" w14:paraId="075DBDFE" w14:textId="77777777" w:rsidTr="005C75D4">
        <w:tc>
          <w:tcPr>
            <w:tcW w:w="1880" w:type="dxa"/>
            <w:vMerge/>
          </w:tcPr>
          <w:p w14:paraId="1A2E0AFA" w14:textId="77777777" w:rsidR="003A2155" w:rsidRPr="00593D86" w:rsidRDefault="003A2155" w:rsidP="003A2155">
            <w:pPr>
              <w:pStyle w:val="Default"/>
              <w:ind w:left="313"/>
              <w:rPr>
                <w:rFonts w:ascii="Arial" w:hAnsi="Arial" w:cs="Arial"/>
                <w:sz w:val="22"/>
                <w:szCs w:val="22"/>
              </w:rPr>
            </w:pPr>
          </w:p>
        </w:tc>
        <w:tc>
          <w:tcPr>
            <w:tcW w:w="4778" w:type="dxa"/>
          </w:tcPr>
          <w:p w14:paraId="41DFB966" w14:textId="77777777" w:rsidR="003A2155" w:rsidRPr="00593D86" w:rsidRDefault="003A2155" w:rsidP="003A2155">
            <w:pPr>
              <w:pStyle w:val="Pa2"/>
              <w:spacing w:after="140"/>
              <w:rPr>
                <w:rFonts w:ascii="Arial" w:hAnsi="Arial" w:cs="Arial"/>
                <w:color w:val="000000"/>
                <w:sz w:val="22"/>
                <w:szCs w:val="22"/>
              </w:rPr>
            </w:pPr>
            <w:r w:rsidRPr="00593D86">
              <w:rPr>
                <w:rFonts w:ascii="Arial" w:hAnsi="Arial" w:cs="Arial"/>
                <w:color w:val="000000"/>
                <w:sz w:val="22"/>
                <w:szCs w:val="22"/>
              </w:rPr>
              <w:t xml:space="preserve">C2 The strategy includes the organisation’s use of joint working or partnership approaches to managing its risks, where appropriate. </w:t>
            </w:r>
          </w:p>
          <w:p w14:paraId="7367EBB0" w14:textId="77777777" w:rsidR="003A2155" w:rsidRPr="00593D86" w:rsidRDefault="003A2155" w:rsidP="003A2155">
            <w:pPr>
              <w:pStyle w:val="Default"/>
              <w:rPr>
                <w:rFonts w:ascii="Arial" w:hAnsi="Arial" w:cs="Arial"/>
                <w:sz w:val="22"/>
                <w:szCs w:val="22"/>
              </w:rPr>
            </w:pPr>
          </w:p>
        </w:tc>
        <w:tc>
          <w:tcPr>
            <w:tcW w:w="4394" w:type="dxa"/>
          </w:tcPr>
          <w:p w14:paraId="74C9BB17" w14:textId="4A4AF572" w:rsidR="003A2155" w:rsidRPr="00593D86" w:rsidRDefault="003A2155" w:rsidP="003A2155">
            <w:pPr>
              <w:pStyle w:val="Default"/>
              <w:rPr>
                <w:rFonts w:ascii="Arial" w:hAnsi="Arial" w:cs="Arial"/>
                <w:sz w:val="22"/>
                <w:szCs w:val="22"/>
              </w:rPr>
            </w:pPr>
            <w:r>
              <w:rPr>
                <w:rFonts w:ascii="Arial" w:hAnsi="Arial" w:cs="Arial"/>
                <w:sz w:val="22"/>
                <w:szCs w:val="22"/>
              </w:rPr>
              <w:t>The anti-fraud strategy and policy include joint working arrangements.</w:t>
            </w:r>
          </w:p>
        </w:tc>
        <w:tc>
          <w:tcPr>
            <w:tcW w:w="2977" w:type="dxa"/>
          </w:tcPr>
          <w:p w14:paraId="7A1B60CE" w14:textId="5327C967" w:rsidR="003A2155" w:rsidRPr="00593D86" w:rsidRDefault="003A2155" w:rsidP="003A2155">
            <w:pPr>
              <w:pStyle w:val="Default"/>
              <w:rPr>
                <w:rFonts w:ascii="Arial" w:hAnsi="Arial" w:cs="Arial"/>
                <w:sz w:val="22"/>
                <w:szCs w:val="22"/>
              </w:rPr>
            </w:pPr>
            <w:r w:rsidRPr="006751CE">
              <w:rPr>
                <w:rFonts w:ascii="Arial" w:hAnsi="Arial" w:cs="Arial"/>
                <w:sz w:val="22"/>
                <w:szCs w:val="22"/>
              </w:rPr>
              <w:t>N/A</w:t>
            </w:r>
          </w:p>
        </w:tc>
      </w:tr>
      <w:tr w:rsidR="003A2155" w14:paraId="499843B3" w14:textId="77777777" w:rsidTr="005C75D4">
        <w:tc>
          <w:tcPr>
            <w:tcW w:w="1880" w:type="dxa"/>
            <w:vMerge/>
          </w:tcPr>
          <w:p w14:paraId="7B4657F0" w14:textId="77777777" w:rsidR="003A2155" w:rsidRPr="00593D86" w:rsidRDefault="003A2155" w:rsidP="003A2155">
            <w:pPr>
              <w:pStyle w:val="Default"/>
              <w:ind w:left="313"/>
              <w:rPr>
                <w:rFonts w:ascii="Arial" w:hAnsi="Arial" w:cs="Arial"/>
                <w:sz w:val="22"/>
                <w:szCs w:val="22"/>
              </w:rPr>
            </w:pPr>
          </w:p>
        </w:tc>
        <w:tc>
          <w:tcPr>
            <w:tcW w:w="4778" w:type="dxa"/>
          </w:tcPr>
          <w:p w14:paraId="54A890F7" w14:textId="4ECC2CD4" w:rsidR="003A2155" w:rsidRPr="00593D86" w:rsidRDefault="003A2155" w:rsidP="003A2155">
            <w:pPr>
              <w:pStyle w:val="Default"/>
              <w:rPr>
                <w:rFonts w:ascii="Arial" w:hAnsi="Arial" w:cs="Arial"/>
                <w:sz w:val="22"/>
                <w:szCs w:val="22"/>
              </w:rPr>
            </w:pPr>
            <w:r w:rsidRPr="00593D86">
              <w:rPr>
                <w:rFonts w:ascii="Arial" w:hAnsi="Arial" w:cs="Arial"/>
                <w:sz w:val="22"/>
                <w:szCs w:val="22"/>
              </w:rPr>
              <w:t>C3 The strategy includes both proactive and responsive approaches that are best suited to the organisation’s fraud and corruption risks.</w:t>
            </w:r>
          </w:p>
        </w:tc>
        <w:tc>
          <w:tcPr>
            <w:tcW w:w="4394" w:type="dxa"/>
          </w:tcPr>
          <w:p w14:paraId="61CE3A75" w14:textId="7ECABC9A" w:rsidR="003A2155" w:rsidRPr="00593D86" w:rsidRDefault="003A2155" w:rsidP="003A2155">
            <w:pPr>
              <w:pStyle w:val="Default"/>
              <w:rPr>
                <w:rFonts w:ascii="Arial" w:hAnsi="Arial" w:cs="Arial"/>
                <w:sz w:val="22"/>
                <w:szCs w:val="22"/>
              </w:rPr>
            </w:pPr>
            <w:r>
              <w:rPr>
                <w:rFonts w:ascii="Arial" w:hAnsi="Arial" w:cs="Arial"/>
                <w:sz w:val="22"/>
                <w:szCs w:val="22"/>
              </w:rPr>
              <w:t>The anti-fraud strategy and policy includes proactive and responsive approaches to fraud risk.</w:t>
            </w:r>
          </w:p>
        </w:tc>
        <w:tc>
          <w:tcPr>
            <w:tcW w:w="2977" w:type="dxa"/>
          </w:tcPr>
          <w:p w14:paraId="3FA57578" w14:textId="38666496" w:rsidR="003A2155" w:rsidRPr="00593D86" w:rsidRDefault="003A2155" w:rsidP="003A2155">
            <w:pPr>
              <w:pStyle w:val="Default"/>
              <w:rPr>
                <w:rFonts w:ascii="Arial" w:hAnsi="Arial" w:cs="Arial"/>
                <w:sz w:val="22"/>
                <w:szCs w:val="22"/>
              </w:rPr>
            </w:pPr>
            <w:r w:rsidRPr="006751CE">
              <w:rPr>
                <w:rFonts w:ascii="Arial" w:hAnsi="Arial" w:cs="Arial"/>
                <w:sz w:val="22"/>
                <w:szCs w:val="22"/>
              </w:rPr>
              <w:t>N/A</w:t>
            </w:r>
          </w:p>
        </w:tc>
      </w:tr>
      <w:tr w:rsidR="00593D86" w14:paraId="3CCAB06D" w14:textId="77777777" w:rsidTr="005C75D4">
        <w:tc>
          <w:tcPr>
            <w:tcW w:w="1880" w:type="dxa"/>
            <w:vMerge/>
          </w:tcPr>
          <w:p w14:paraId="07B8910E" w14:textId="77777777" w:rsidR="00593D86" w:rsidRPr="00593D86" w:rsidRDefault="00593D86" w:rsidP="000830B8">
            <w:pPr>
              <w:pStyle w:val="Default"/>
              <w:ind w:left="313"/>
              <w:rPr>
                <w:rFonts w:ascii="Arial" w:hAnsi="Arial" w:cs="Arial"/>
                <w:sz w:val="22"/>
                <w:szCs w:val="22"/>
              </w:rPr>
            </w:pPr>
          </w:p>
        </w:tc>
        <w:tc>
          <w:tcPr>
            <w:tcW w:w="4778" w:type="dxa"/>
          </w:tcPr>
          <w:p w14:paraId="4EA169AD" w14:textId="3ED85F89" w:rsidR="00593D86" w:rsidRPr="00593D86" w:rsidRDefault="00593D86" w:rsidP="00216D69">
            <w:pPr>
              <w:pStyle w:val="Default"/>
              <w:rPr>
                <w:rFonts w:ascii="Arial" w:hAnsi="Arial" w:cs="Arial"/>
                <w:sz w:val="22"/>
                <w:szCs w:val="22"/>
              </w:rPr>
            </w:pPr>
            <w:r w:rsidRPr="00593D86">
              <w:rPr>
                <w:rFonts w:ascii="Arial" w:hAnsi="Arial" w:cs="Arial"/>
                <w:sz w:val="22"/>
                <w:szCs w:val="22"/>
              </w:rPr>
              <w:t>C4 The strategy includes clear identification of responsibility and accountability for delivery of the strategy and for providing oversight.</w:t>
            </w:r>
          </w:p>
        </w:tc>
        <w:tc>
          <w:tcPr>
            <w:tcW w:w="4394" w:type="dxa"/>
          </w:tcPr>
          <w:p w14:paraId="215FF667" w14:textId="02FC1F87" w:rsidR="00593D86" w:rsidRPr="00593D86" w:rsidRDefault="00120623" w:rsidP="00216D69">
            <w:pPr>
              <w:pStyle w:val="Default"/>
              <w:rPr>
                <w:rFonts w:ascii="Arial" w:hAnsi="Arial" w:cs="Arial"/>
                <w:sz w:val="22"/>
                <w:szCs w:val="22"/>
              </w:rPr>
            </w:pPr>
            <w:r>
              <w:rPr>
                <w:rFonts w:ascii="Arial" w:hAnsi="Arial" w:cs="Arial"/>
                <w:sz w:val="22"/>
                <w:szCs w:val="22"/>
              </w:rPr>
              <w:t>The anti-fraud strategy and policy includes clear responsibility and accountability.</w:t>
            </w:r>
          </w:p>
        </w:tc>
        <w:tc>
          <w:tcPr>
            <w:tcW w:w="2977" w:type="dxa"/>
          </w:tcPr>
          <w:p w14:paraId="797C9E1D" w14:textId="496E4C31" w:rsidR="00593D86" w:rsidRPr="00593D86" w:rsidRDefault="00120623" w:rsidP="00216D69">
            <w:pPr>
              <w:pStyle w:val="Default"/>
              <w:rPr>
                <w:rFonts w:ascii="Arial" w:hAnsi="Arial" w:cs="Arial"/>
                <w:sz w:val="22"/>
                <w:szCs w:val="22"/>
              </w:rPr>
            </w:pPr>
            <w:r>
              <w:rPr>
                <w:rFonts w:ascii="Arial" w:hAnsi="Arial" w:cs="Arial"/>
                <w:sz w:val="22"/>
                <w:szCs w:val="22"/>
              </w:rPr>
              <w:t>It is intended that this strategy and policy will be reviewed following the Phase 1 restructure.</w:t>
            </w:r>
          </w:p>
        </w:tc>
      </w:tr>
      <w:tr w:rsidR="003A2155" w14:paraId="68AD47F7" w14:textId="77777777" w:rsidTr="005C75D4">
        <w:tc>
          <w:tcPr>
            <w:tcW w:w="1880" w:type="dxa"/>
            <w:vMerge w:val="restart"/>
          </w:tcPr>
          <w:p w14:paraId="2412774C" w14:textId="77777777" w:rsidR="003A2155" w:rsidRPr="00593D86" w:rsidRDefault="003A2155" w:rsidP="003A2155">
            <w:pPr>
              <w:pStyle w:val="Default"/>
              <w:numPr>
                <w:ilvl w:val="0"/>
                <w:numId w:val="2"/>
              </w:numPr>
              <w:ind w:left="313" w:hanging="313"/>
              <w:rPr>
                <w:rFonts w:ascii="Arial" w:hAnsi="Arial" w:cs="Arial"/>
                <w:sz w:val="22"/>
                <w:szCs w:val="22"/>
              </w:rPr>
            </w:pPr>
            <w:r w:rsidRPr="00593D86">
              <w:rPr>
                <w:rFonts w:ascii="Arial" w:hAnsi="Arial" w:cs="Arial"/>
                <w:sz w:val="22"/>
                <w:szCs w:val="22"/>
              </w:rPr>
              <w:t>Provide resources</w:t>
            </w:r>
          </w:p>
          <w:p w14:paraId="17232725" w14:textId="77777777" w:rsidR="003A2155" w:rsidRDefault="003A2155" w:rsidP="003A2155">
            <w:pPr>
              <w:pStyle w:val="Default"/>
              <w:ind w:left="313"/>
              <w:rPr>
                <w:rFonts w:ascii="Arial" w:hAnsi="Arial" w:cs="Arial"/>
                <w:sz w:val="22"/>
                <w:szCs w:val="22"/>
              </w:rPr>
            </w:pPr>
          </w:p>
          <w:p w14:paraId="41AE73FD" w14:textId="2F8E0DD2" w:rsidR="003A2155" w:rsidRPr="00593D86" w:rsidRDefault="003A2155" w:rsidP="003A2155">
            <w:pPr>
              <w:jc w:val="center"/>
              <w:rPr>
                <w:rFonts w:ascii="Arial" w:hAnsi="Arial" w:cs="Arial"/>
              </w:rPr>
            </w:pPr>
          </w:p>
        </w:tc>
        <w:tc>
          <w:tcPr>
            <w:tcW w:w="4778" w:type="dxa"/>
          </w:tcPr>
          <w:p w14:paraId="5CA4758B" w14:textId="7EE69576" w:rsidR="003A2155" w:rsidRPr="00593D86" w:rsidRDefault="003A2155" w:rsidP="003A2155">
            <w:pPr>
              <w:pStyle w:val="Pa2"/>
              <w:spacing w:after="140"/>
              <w:rPr>
                <w:rFonts w:ascii="Arial" w:hAnsi="Arial" w:cs="Arial"/>
                <w:color w:val="000000"/>
                <w:sz w:val="22"/>
                <w:szCs w:val="22"/>
              </w:rPr>
            </w:pPr>
            <w:r w:rsidRPr="00593D86">
              <w:rPr>
                <w:rFonts w:ascii="Arial" w:hAnsi="Arial" w:cs="Arial"/>
                <w:color w:val="000000"/>
                <w:sz w:val="22"/>
                <w:szCs w:val="22"/>
              </w:rPr>
              <w:t xml:space="preserve">D1 An annual assessment of whether the level of resource invested to counter fraud and corruption is proportionate for the level of risk. </w:t>
            </w:r>
          </w:p>
        </w:tc>
        <w:tc>
          <w:tcPr>
            <w:tcW w:w="4394" w:type="dxa"/>
          </w:tcPr>
          <w:p w14:paraId="2C3E3E06" w14:textId="276DDFED" w:rsidR="003A2155" w:rsidRPr="00593D86" w:rsidRDefault="003A2155" w:rsidP="003A2155">
            <w:pPr>
              <w:pStyle w:val="Default"/>
              <w:rPr>
                <w:rFonts w:ascii="Arial" w:hAnsi="Arial" w:cs="Arial"/>
                <w:sz w:val="22"/>
                <w:szCs w:val="22"/>
              </w:rPr>
            </w:pPr>
            <w:r>
              <w:rPr>
                <w:rFonts w:ascii="Arial" w:hAnsi="Arial" w:cs="Arial"/>
                <w:sz w:val="22"/>
                <w:szCs w:val="22"/>
              </w:rPr>
              <w:t>This is considered as part of the annual Internal Audit planning process and a report is submitted to the Audit and Governance Committee for approval.</w:t>
            </w:r>
          </w:p>
        </w:tc>
        <w:tc>
          <w:tcPr>
            <w:tcW w:w="2977" w:type="dxa"/>
          </w:tcPr>
          <w:p w14:paraId="6ADE2E90" w14:textId="1984AF89" w:rsidR="003A2155" w:rsidRPr="00593D86" w:rsidRDefault="003A2155" w:rsidP="003A2155">
            <w:pPr>
              <w:pStyle w:val="Default"/>
              <w:rPr>
                <w:rFonts w:ascii="Arial" w:hAnsi="Arial" w:cs="Arial"/>
                <w:sz w:val="22"/>
                <w:szCs w:val="22"/>
              </w:rPr>
            </w:pPr>
            <w:r w:rsidRPr="002458E6">
              <w:rPr>
                <w:rFonts w:ascii="Arial" w:hAnsi="Arial" w:cs="Arial"/>
                <w:sz w:val="22"/>
                <w:szCs w:val="22"/>
              </w:rPr>
              <w:t>N/A</w:t>
            </w:r>
          </w:p>
        </w:tc>
      </w:tr>
      <w:tr w:rsidR="003A2155" w14:paraId="04E315FC" w14:textId="77777777" w:rsidTr="005C75D4">
        <w:tc>
          <w:tcPr>
            <w:tcW w:w="1880" w:type="dxa"/>
            <w:vMerge/>
          </w:tcPr>
          <w:p w14:paraId="7CE3D2D2" w14:textId="77777777" w:rsidR="003A2155" w:rsidRPr="00593D86" w:rsidRDefault="003A2155" w:rsidP="003A2155">
            <w:pPr>
              <w:jc w:val="center"/>
              <w:rPr>
                <w:rFonts w:ascii="Arial" w:hAnsi="Arial" w:cs="Arial"/>
              </w:rPr>
            </w:pPr>
          </w:p>
        </w:tc>
        <w:tc>
          <w:tcPr>
            <w:tcW w:w="4778" w:type="dxa"/>
          </w:tcPr>
          <w:p w14:paraId="4B1BAFFC" w14:textId="330917E6" w:rsidR="003A2155" w:rsidRPr="00593D86" w:rsidRDefault="003A2155" w:rsidP="003A2155">
            <w:pPr>
              <w:pStyle w:val="Pa2"/>
              <w:spacing w:after="140"/>
              <w:rPr>
                <w:rFonts w:ascii="Arial" w:hAnsi="Arial" w:cs="Arial"/>
                <w:color w:val="000000"/>
                <w:sz w:val="22"/>
                <w:szCs w:val="22"/>
              </w:rPr>
            </w:pPr>
            <w:r w:rsidRPr="00593D86">
              <w:rPr>
                <w:rFonts w:ascii="Arial" w:hAnsi="Arial" w:cs="Arial"/>
                <w:color w:val="000000"/>
                <w:sz w:val="22"/>
                <w:szCs w:val="22"/>
              </w:rPr>
              <w:t xml:space="preserve">D2 The organisation utilises an appropriate mix of experienced and skilled staff, including access to counter fraud staff with professional accreditation. </w:t>
            </w:r>
          </w:p>
        </w:tc>
        <w:tc>
          <w:tcPr>
            <w:tcW w:w="4394" w:type="dxa"/>
          </w:tcPr>
          <w:p w14:paraId="003B2D65" w14:textId="6BF78B00" w:rsidR="003A2155" w:rsidRPr="00593D86" w:rsidRDefault="003A2155" w:rsidP="003A2155">
            <w:pPr>
              <w:pStyle w:val="Default"/>
              <w:rPr>
                <w:rFonts w:ascii="Arial" w:hAnsi="Arial" w:cs="Arial"/>
                <w:sz w:val="22"/>
                <w:szCs w:val="22"/>
              </w:rPr>
            </w:pPr>
            <w:r>
              <w:rPr>
                <w:rFonts w:ascii="Arial" w:hAnsi="Arial" w:cs="Arial"/>
                <w:sz w:val="22"/>
                <w:szCs w:val="22"/>
              </w:rPr>
              <w:t>The internal audit team includes three individuals who have experience of performing a number of investigations and hold the CIPFA Certificate in Investigative Practices Certificate.</w:t>
            </w:r>
          </w:p>
        </w:tc>
        <w:tc>
          <w:tcPr>
            <w:tcW w:w="2977" w:type="dxa"/>
          </w:tcPr>
          <w:p w14:paraId="79491CCE" w14:textId="124ED2F8" w:rsidR="003A2155" w:rsidRPr="00593D86" w:rsidRDefault="003A2155" w:rsidP="003A2155">
            <w:pPr>
              <w:pStyle w:val="Default"/>
              <w:rPr>
                <w:rFonts w:ascii="Arial" w:hAnsi="Arial" w:cs="Arial"/>
                <w:sz w:val="22"/>
                <w:szCs w:val="22"/>
              </w:rPr>
            </w:pPr>
            <w:r w:rsidRPr="002458E6">
              <w:rPr>
                <w:rFonts w:ascii="Arial" w:hAnsi="Arial" w:cs="Arial"/>
                <w:sz w:val="22"/>
                <w:szCs w:val="22"/>
              </w:rPr>
              <w:t>N/A</w:t>
            </w:r>
          </w:p>
        </w:tc>
      </w:tr>
      <w:tr w:rsidR="003A2155" w14:paraId="2BDA84F3" w14:textId="77777777" w:rsidTr="005C75D4">
        <w:tc>
          <w:tcPr>
            <w:tcW w:w="1880" w:type="dxa"/>
            <w:vMerge/>
          </w:tcPr>
          <w:p w14:paraId="74090BD1" w14:textId="77777777" w:rsidR="003A2155" w:rsidRPr="00593D86" w:rsidRDefault="003A2155" w:rsidP="003A2155">
            <w:pPr>
              <w:jc w:val="center"/>
              <w:rPr>
                <w:rFonts w:ascii="Arial" w:hAnsi="Arial" w:cs="Arial"/>
              </w:rPr>
            </w:pPr>
          </w:p>
        </w:tc>
        <w:tc>
          <w:tcPr>
            <w:tcW w:w="4778" w:type="dxa"/>
          </w:tcPr>
          <w:p w14:paraId="1A1743B8" w14:textId="0E68E6A3" w:rsidR="003A2155" w:rsidRPr="00593D86" w:rsidRDefault="003A2155" w:rsidP="003A2155">
            <w:pPr>
              <w:pStyle w:val="Pa2"/>
              <w:spacing w:after="140"/>
              <w:rPr>
                <w:rFonts w:ascii="Arial" w:hAnsi="Arial" w:cs="Arial"/>
                <w:color w:val="000000"/>
                <w:sz w:val="22"/>
                <w:szCs w:val="22"/>
              </w:rPr>
            </w:pPr>
            <w:r w:rsidRPr="00593D86">
              <w:rPr>
                <w:rFonts w:ascii="Arial" w:hAnsi="Arial" w:cs="Arial"/>
                <w:color w:val="000000"/>
                <w:sz w:val="22"/>
                <w:szCs w:val="22"/>
              </w:rPr>
              <w:t xml:space="preserve">D3 The organisation grants counter fraud staff unhindered access to its employees, information and other resources as required for investigation purposes. </w:t>
            </w:r>
          </w:p>
        </w:tc>
        <w:tc>
          <w:tcPr>
            <w:tcW w:w="4394" w:type="dxa"/>
          </w:tcPr>
          <w:p w14:paraId="098DA7D0" w14:textId="129C82F4" w:rsidR="003A2155" w:rsidRPr="00593D86" w:rsidRDefault="003A2155" w:rsidP="003A2155">
            <w:pPr>
              <w:pStyle w:val="Default"/>
              <w:rPr>
                <w:rFonts w:ascii="Arial" w:hAnsi="Arial" w:cs="Arial"/>
                <w:sz w:val="22"/>
                <w:szCs w:val="22"/>
              </w:rPr>
            </w:pPr>
            <w:r>
              <w:rPr>
                <w:rFonts w:ascii="Arial" w:hAnsi="Arial" w:cs="Arial"/>
                <w:sz w:val="22"/>
                <w:szCs w:val="22"/>
              </w:rPr>
              <w:t>The counter fraud team have access to all information that they require for investigation purposes.</w:t>
            </w:r>
          </w:p>
        </w:tc>
        <w:tc>
          <w:tcPr>
            <w:tcW w:w="2977" w:type="dxa"/>
          </w:tcPr>
          <w:p w14:paraId="1A6B925C" w14:textId="75003068" w:rsidR="003A2155" w:rsidRPr="00593D86" w:rsidRDefault="003A2155" w:rsidP="003A2155">
            <w:pPr>
              <w:pStyle w:val="Default"/>
              <w:rPr>
                <w:rFonts w:ascii="Arial" w:hAnsi="Arial" w:cs="Arial"/>
                <w:sz w:val="22"/>
                <w:szCs w:val="22"/>
              </w:rPr>
            </w:pPr>
            <w:r w:rsidRPr="002458E6">
              <w:rPr>
                <w:rFonts w:ascii="Arial" w:hAnsi="Arial" w:cs="Arial"/>
                <w:sz w:val="22"/>
                <w:szCs w:val="22"/>
              </w:rPr>
              <w:t>N/A</w:t>
            </w:r>
          </w:p>
        </w:tc>
      </w:tr>
      <w:tr w:rsidR="003A2155" w14:paraId="1BF35E43" w14:textId="77777777" w:rsidTr="005C75D4">
        <w:tc>
          <w:tcPr>
            <w:tcW w:w="1880" w:type="dxa"/>
            <w:vMerge/>
          </w:tcPr>
          <w:p w14:paraId="540A69B1" w14:textId="77777777" w:rsidR="003A2155" w:rsidRPr="00593D86" w:rsidRDefault="003A2155" w:rsidP="003A2155">
            <w:pPr>
              <w:jc w:val="center"/>
            </w:pPr>
          </w:p>
        </w:tc>
        <w:tc>
          <w:tcPr>
            <w:tcW w:w="4778" w:type="dxa"/>
          </w:tcPr>
          <w:p w14:paraId="0A73844E" w14:textId="3FD8F7E6" w:rsidR="003A2155" w:rsidRPr="00593D86" w:rsidRDefault="003A2155" w:rsidP="003A2155">
            <w:pPr>
              <w:pStyle w:val="Default"/>
              <w:rPr>
                <w:rFonts w:ascii="Arial" w:hAnsi="Arial" w:cs="Arial"/>
                <w:sz w:val="22"/>
                <w:szCs w:val="22"/>
              </w:rPr>
            </w:pPr>
            <w:r w:rsidRPr="00593D86">
              <w:rPr>
                <w:rFonts w:ascii="Arial" w:hAnsi="Arial" w:cs="Arial"/>
                <w:sz w:val="22"/>
                <w:szCs w:val="22"/>
              </w:rPr>
              <w:t>D4 The organisation has protocols in place to facilitate joint working and data and intelligence sharing to support counter fraud activity.</w:t>
            </w:r>
          </w:p>
        </w:tc>
        <w:tc>
          <w:tcPr>
            <w:tcW w:w="4394" w:type="dxa"/>
          </w:tcPr>
          <w:p w14:paraId="0CA768E6" w14:textId="12B34594" w:rsidR="003A2155" w:rsidRPr="00593D86" w:rsidRDefault="003A2155" w:rsidP="003A2155">
            <w:pPr>
              <w:pStyle w:val="Default"/>
              <w:rPr>
                <w:rFonts w:ascii="Arial" w:hAnsi="Arial" w:cs="Arial"/>
                <w:sz w:val="22"/>
                <w:szCs w:val="22"/>
              </w:rPr>
            </w:pPr>
            <w:r>
              <w:rPr>
                <w:rFonts w:ascii="Arial" w:hAnsi="Arial" w:cs="Arial"/>
                <w:sz w:val="22"/>
                <w:szCs w:val="22"/>
              </w:rPr>
              <w:t>The organisation has arrangements in place to facilitate joint working and data/ intelligence sharing.</w:t>
            </w:r>
          </w:p>
        </w:tc>
        <w:tc>
          <w:tcPr>
            <w:tcW w:w="2977" w:type="dxa"/>
          </w:tcPr>
          <w:p w14:paraId="0D6FFAC0" w14:textId="234E0E74" w:rsidR="003A2155" w:rsidRPr="00593D86" w:rsidRDefault="003A2155" w:rsidP="003A2155">
            <w:pPr>
              <w:pStyle w:val="Default"/>
              <w:rPr>
                <w:rFonts w:ascii="Arial" w:hAnsi="Arial" w:cs="Arial"/>
                <w:sz w:val="22"/>
                <w:szCs w:val="22"/>
              </w:rPr>
            </w:pPr>
            <w:r w:rsidRPr="002458E6">
              <w:rPr>
                <w:rFonts w:ascii="Arial" w:hAnsi="Arial" w:cs="Arial"/>
                <w:sz w:val="22"/>
                <w:szCs w:val="22"/>
              </w:rPr>
              <w:t>N/A</w:t>
            </w:r>
          </w:p>
        </w:tc>
      </w:tr>
      <w:tr w:rsidR="003A2155" w14:paraId="1B49B5A2" w14:textId="77777777" w:rsidTr="005C75D4">
        <w:tc>
          <w:tcPr>
            <w:tcW w:w="1880" w:type="dxa"/>
            <w:vMerge w:val="restart"/>
          </w:tcPr>
          <w:p w14:paraId="73776DE1" w14:textId="77777777" w:rsidR="003A2155" w:rsidRPr="00593D86" w:rsidRDefault="003A2155" w:rsidP="003A2155">
            <w:pPr>
              <w:pStyle w:val="Default"/>
              <w:numPr>
                <w:ilvl w:val="0"/>
                <w:numId w:val="2"/>
              </w:numPr>
              <w:ind w:left="313" w:hanging="313"/>
              <w:rPr>
                <w:rFonts w:ascii="Arial" w:hAnsi="Arial" w:cs="Arial"/>
                <w:sz w:val="22"/>
                <w:szCs w:val="22"/>
              </w:rPr>
            </w:pPr>
            <w:r w:rsidRPr="00593D86">
              <w:rPr>
                <w:rFonts w:ascii="Arial" w:hAnsi="Arial" w:cs="Arial"/>
                <w:sz w:val="22"/>
                <w:szCs w:val="22"/>
              </w:rPr>
              <w:t>Take action</w:t>
            </w:r>
          </w:p>
          <w:p w14:paraId="5AAEC018" w14:textId="53F1F3AD" w:rsidR="003A2155" w:rsidRPr="00593D86" w:rsidRDefault="003A2155" w:rsidP="003A2155">
            <w:pPr>
              <w:pStyle w:val="Default"/>
              <w:ind w:left="313"/>
              <w:rPr>
                <w:rFonts w:ascii="Arial" w:hAnsi="Arial" w:cs="Arial"/>
                <w:sz w:val="22"/>
                <w:szCs w:val="22"/>
              </w:rPr>
            </w:pPr>
          </w:p>
        </w:tc>
        <w:tc>
          <w:tcPr>
            <w:tcW w:w="4778" w:type="dxa"/>
          </w:tcPr>
          <w:p w14:paraId="7D0C5219" w14:textId="5CEA2289" w:rsidR="003A2155" w:rsidRPr="00593D86" w:rsidRDefault="003A2155" w:rsidP="003A2155">
            <w:pPr>
              <w:pStyle w:val="Default"/>
              <w:rPr>
                <w:rFonts w:ascii="Arial" w:hAnsi="Arial" w:cs="Arial"/>
                <w:sz w:val="22"/>
                <w:szCs w:val="22"/>
              </w:rPr>
            </w:pPr>
            <w:r w:rsidRPr="00593D86">
              <w:rPr>
                <w:rFonts w:ascii="Arial" w:hAnsi="Arial" w:cs="Arial"/>
                <w:sz w:val="22"/>
                <w:szCs w:val="22"/>
              </w:rPr>
              <w:t>E1 The organisation has put in place a policy framework which supports the implementation of the counter fraud strategy.</w:t>
            </w:r>
          </w:p>
        </w:tc>
        <w:tc>
          <w:tcPr>
            <w:tcW w:w="4394" w:type="dxa"/>
          </w:tcPr>
          <w:p w14:paraId="5CB6932C" w14:textId="417E3EED" w:rsidR="003A2155" w:rsidRPr="00593D86" w:rsidRDefault="003A2155" w:rsidP="003A2155">
            <w:pPr>
              <w:pStyle w:val="Default"/>
              <w:rPr>
                <w:rFonts w:ascii="Arial" w:hAnsi="Arial" w:cs="Arial"/>
                <w:sz w:val="22"/>
                <w:szCs w:val="22"/>
              </w:rPr>
            </w:pPr>
            <w:r>
              <w:rPr>
                <w:rFonts w:ascii="Arial" w:hAnsi="Arial" w:cs="Arial"/>
                <w:sz w:val="22"/>
                <w:szCs w:val="22"/>
              </w:rPr>
              <w:t>The council has an anti-fraud strategy and policy.</w:t>
            </w:r>
          </w:p>
        </w:tc>
        <w:tc>
          <w:tcPr>
            <w:tcW w:w="2977" w:type="dxa"/>
          </w:tcPr>
          <w:p w14:paraId="6338F632" w14:textId="057E6AD2" w:rsidR="003A2155" w:rsidRPr="00593D86" w:rsidRDefault="003A2155" w:rsidP="003A2155">
            <w:pPr>
              <w:pStyle w:val="Default"/>
              <w:rPr>
                <w:rFonts w:ascii="Arial" w:hAnsi="Arial" w:cs="Arial"/>
                <w:sz w:val="22"/>
                <w:szCs w:val="22"/>
              </w:rPr>
            </w:pPr>
            <w:r w:rsidRPr="00C321EE">
              <w:rPr>
                <w:rFonts w:ascii="Arial" w:hAnsi="Arial" w:cs="Arial"/>
                <w:sz w:val="22"/>
                <w:szCs w:val="22"/>
              </w:rPr>
              <w:t>N/A</w:t>
            </w:r>
          </w:p>
        </w:tc>
      </w:tr>
      <w:tr w:rsidR="003A2155" w14:paraId="41E26FDD" w14:textId="77777777" w:rsidTr="005C75D4">
        <w:tc>
          <w:tcPr>
            <w:tcW w:w="1880" w:type="dxa"/>
            <w:vMerge/>
          </w:tcPr>
          <w:p w14:paraId="1F73A198" w14:textId="77777777" w:rsidR="003A2155" w:rsidRPr="00593D86" w:rsidRDefault="003A2155" w:rsidP="003A2155">
            <w:pPr>
              <w:pStyle w:val="Default"/>
              <w:ind w:left="313"/>
              <w:rPr>
                <w:rFonts w:ascii="Arial" w:hAnsi="Arial" w:cs="Arial"/>
                <w:sz w:val="22"/>
                <w:szCs w:val="22"/>
              </w:rPr>
            </w:pPr>
          </w:p>
        </w:tc>
        <w:tc>
          <w:tcPr>
            <w:tcW w:w="4778" w:type="dxa"/>
          </w:tcPr>
          <w:p w14:paraId="320AFCCA" w14:textId="18BE5428" w:rsidR="003A2155" w:rsidRPr="00593D86" w:rsidRDefault="003A2155" w:rsidP="003A2155">
            <w:pPr>
              <w:pStyle w:val="Default"/>
              <w:rPr>
                <w:rFonts w:ascii="Arial" w:hAnsi="Arial" w:cs="Arial"/>
                <w:sz w:val="22"/>
                <w:szCs w:val="22"/>
              </w:rPr>
            </w:pPr>
            <w:r w:rsidRPr="00593D86">
              <w:rPr>
                <w:rFonts w:ascii="Arial" w:hAnsi="Arial" w:cs="Arial"/>
                <w:sz w:val="22"/>
                <w:szCs w:val="22"/>
              </w:rPr>
              <w:t>E2 Plans and operations are aligned to the strategy and contribute to the achievement of the organisation’s overall goal of maintaining resilience to fraud and corruption.</w:t>
            </w:r>
          </w:p>
        </w:tc>
        <w:tc>
          <w:tcPr>
            <w:tcW w:w="4394" w:type="dxa"/>
          </w:tcPr>
          <w:p w14:paraId="6A90B08A" w14:textId="7899EABE" w:rsidR="003A2155" w:rsidRPr="00593D86" w:rsidRDefault="003A2155" w:rsidP="006D6640">
            <w:pPr>
              <w:pStyle w:val="Default"/>
              <w:rPr>
                <w:rFonts w:ascii="Arial" w:hAnsi="Arial" w:cs="Arial"/>
                <w:sz w:val="22"/>
                <w:szCs w:val="22"/>
              </w:rPr>
            </w:pPr>
            <w:r>
              <w:rPr>
                <w:rFonts w:ascii="Arial" w:hAnsi="Arial" w:cs="Arial"/>
                <w:sz w:val="22"/>
                <w:szCs w:val="22"/>
              </w:rPr>
              <w:t>An annual counter fraud plan is produced as part of the annual Internal audit planning process. Progress is monitored as part of the overall internal audit progress reporting arrangements.</w:t>
            </w:r>
            <w:r w:rsidR="00893DDC">
              <w:rPr>
                <w:rFonts w:ascii="Arial" w:hAnsi="Arial" w:cs="Arial"/>
                <w:sz w:val="22"/>
                <w:szCs w:val="22"/>
              </w:rPr>
              <w:t xml:space="preserve"> </w:t>
            </w:r>
          </w:p>
        </w:tc>
        <w:tc>
          <w:tcPr>
            <w:tcW w:w="2977" w:type="dxa"/>
          </w:tcPr>
          <w:p w14:paraId="4BD19232" w14:textId="07F6C5FF" w:rsidR="003A2155" w:rsidRPr="00593D86" w:rsidRDefault="006D6640" w:rsidP="003A2155">
            <w:pPr>
              <w:pStyle w:val="Default"/>
              <w:rPr>
                <w:rFonts w:ascii="Arial" w:hAnsi="Arial" w:cs="Arial"/>
                <w:sz w:val="22"/>
                <w:szCs w:val="22"/>
              </w:rPr>
            </w:pPr>
            <w:r>
              <w:rPr>
                <w:rFonts w:ascii="Arial" w:hAnsi="Arial" w:cs="Arial"/>
                <w:sz w:val="22"/>
                <w:szCs w:val="22"/>
              </w:rPr>
              <w:t>N/A</w:t>
            </w:r>
          </w:p>
        </w:tc>
      </w:tr>
      <w:tr w:rsidR="003A2155" w14:paraId="1D7A8B1E" w14:textId="77777777" w:rsidTr="005C75D4">
        <w:tc>
          <w:tcPr>
            <w:tcW w:w="1880" w:type="dxa"/>
            <w:vMerge/>
          </w:tcPr>
          <w:p w14:paraId="4B7DC59F" w14:textId="77777777" w:rsidR="003A2155" w:rsidRPr="00593D86" w:rsidRDefault="003A2155" w:rsidP="003A2155">
            <w:pPr>
              <w:pStyle w:val="Default"/>
              <w:ind w:left="313"/>
              <w:rPr>
                <w:rFonts w:ascii="Arial" w:hAnsi="Arial" w:cs="Arial"/>
                <w:sz w:val="22"/>
                <w:szCs w:val="22"/>
              </w:rPr>
            </w:pPr>
          </w:p>
        </w:tc>
        <w:tc>
          <w:tcPr>
            <w:tcW w:w="4778" w:type="dxa"/>
          </w:tcPr>
          <w:p w14:paraId="331346EB" w14:textId="54E5BA54" w:rsidR="003A2155" w:rsidRPr="00593D86" w:rsidRDefault="003A2155" w:rsidP="003A2155">
            <w:pPr>
              <w:pStyle w:val="Default"/>
              <w:rPr>
                <w:rFonts w:ascii="Arial" w:hAnsi="Arial" w:cs="Arial"/>
                <w:sz w:val="22"/>
                <w:szCs w:val="22"/>
              </w:rPr>
            </w:pPr>
            <w:r w:rsidRPr="00593D86">
              <w:rPr>
                <w:rFonts w:ascii="Arial" w:hAnsi="Arial" w:cs="Arial"/>
                <w:sz w:val="22"/>
                <w:szCs w:val="22"/>
              </w:rPr>
              <w:t>E3 Making effective use of national or sectoral initiatives to detect fraud or prevent fraud, such as data matching or intelligence sharing.</w:t>
            </w:r>
          </w:p>
        </w:tc>
        <w:tc>
          <w:tcPr>
            <w:tcW w:w="4394" w:type="dxa"/>
          </w:tcPr>
          <w:p w14:paraId="05947D44" w14:textId="1590E37C" w:rsidR="003A2155" w:rsidRPr="00593D86" w:rsidRDefault="003A2155" w:rsidP="003A2155">
            <w:pPr>
              <w:pStyle w:val="Default"/>
              <w:rPr>
                <w:rFonts w:ascii="Arial" w:hAnsi="Arial" w:cs="Arial"/>
                <w:sz w:val="22"/>
                <w:szCs w:val="22"/>
              </w:rPr>
            </w:pPr>
            <w:r>
              <w:rPr>
                <w:rFonts w:ascii="Arial" w:hAnsi="Arial" w:cs="Arial"/>
                <w:sz w:val="22"/>
                <w:szCs w:val="22"/>
              </w:rPr>
              <w:t>The council fully participates in the National Fraud Initiative and receives and shares fraud intelligence information where appropriate.</w:t>
            </w:r>
          </w:p>
        </w:tc>
        <w:tc>
          <w:tcPr>
            <w:tcW w:w="2977" w:type="dxa"/>
          </w:tcPr>
          <w:p w14:paraId="2C964FA7" w14:textId="64051BC7" w:rsidR="003A2155" w:rsidRPr="00593D86" w:rsidRDefault="003A2155" w:rsidP="003A2155">
            <w:pPr>
              <w:pStyle w:val="Default"/>
              <w:rPr>
                <w:rFonts w:ascii="Arial" w:hAnsi="Arial" w:cs="Arial"/>
                <w:sz w:val="22"/>
                <w:szCs w:val="22"/>
              </w:rPr>
            </w:pPr>
            <w:r w:rsidRPr="00E45291">
              <w:rPr>
                <w:rFonts w:ascii="Arial" w:hAnsi="Arial" w:cs="Arial"/>
                <w:sz w:val="22"/>
                <w:szCs w:val="22"/>
              </w:rPr>
              <w:t>N/A</w:t>
            </w:r>
          </w:p>
        </w:tc>
      </w:tr>
      <w:tr w:rsidR="003A2155" w14:paraId="4580830C" w14:textId="77777777" w:rsidTr="005C75D4">
        <w:tc>
          <w:tcPr>
            <w:tcW w:w="1880" w:type="dxa"/>
            <w:vMerge/>
          </w:tcPr>
          <w:p w14:paraId="0137C263" w14:textId="77777777" w:rsidR="003A2155" w:rsidRPr="00593D86" w:rsidRDefault="003A2155" w:rsidP="003A2155">
            <w:pPr>
              <w:pStyle w:val="Default"/>
              <w:ind w:left="313"/>
              <w:rPr>
                <w:rFonts w:ascii="Arial" w:hAnsi="Arial" w:cs="Arial"/>
                <w:sz w:val="22"/>
                <w:szCs w:val="22"/>
              </w:rPr>
            </w:pPr>
          </w:p>
        </w:tc>
        <w:tc>
          <w:tcPr>
            <w:tcW w:w="4778" w:type="dxa"/>
          </w:tcPr>
          <w:p w14:paraId="53290430" w14:textId="4435DCE2" w:rsidR="003A2155" w:rsidRPr="00593D86" w:rsidRDefault="003A2155" w:rsidP="003A2155">
            <w:pPr>
              <w:pStyle w:val="Default"/>
              <w:rPr>
                <w:rFonts w:ascii="Arial" w:hAnsi="Arial" w:cs="Arial"/>
                <w:sz w:val="22"/>
                <w:szCs w:val="22"/>
              </w:rPr>
            </w:pPr>
            <w:r w:rsidRPr="00593D86">
              <w:rPr>
                <w:rFonts w:ascii="Arial" w:hAnsi="Arial" w:cs="Arial"/>
                <w:sz w:val="22"/>
                <w:szCs w:val="22"/>
              </w:rPr>
              <w:t>E4 Providing for independent assurance over fraud risk management, strategy and activities.</w:t>
            </w:r>
          </w:p>
        </w:tc>
        <w:tc>
          <w:tcPr>
            <w:tcW w:w="4394" w:type="dxa"/>
          </w:tcPr>
          <w:p w14:paraId="6792966E" w14:textId="7297EA3B" w:rsidR="003A2155" w:rsidRPr="00593D86" w:rsidRDefault="003A2155" w:rsidP="003A2155">
            <w:pPr>
              <w:pStyle w:val="Default"/>
              <w:rPr>
                <w:rFonts w:ascii="Arial" w:hAnsi="Arial" w:cs="Arial"/>
                <w:sz w:val="22"/>
                <w:szCs w:val="22"/>
              </w:rPr>
            </w:pPr>
            <w:r>
              <w:rPr>
                <w:rFonts w:ascii="Arial" w:hAnsi="Arial" w:cs="Arial"/>
                <w:sz w:val="22"/>
                <w:szCs w:val="22"/>
              </w:rPr>
              <w:t xml:space="preserve">The counter fraud work feeds into the internal audit plan and into the overall audit opinion on how the organisation manages risks. </w:t>
            </w:r>
          </w:p>
        </w:tc>
        <w:tc>
          <w:tcPr>
            <w:tcW w:w="2977" w:type="dxa"/>
          </w:tcPr>
          <w:p w14:paraId="7DA1DBF7" w14:textId="330785A0" w:rsidR="003A2155" w:rsidRPr="00593D86" w:rsidRDefault="003A2155" w:rsidP="003A2155">
            <w:pPr>
              <w:pStyle w:val="Default"/>
              <w:rPr>
                <w:rFonts w:ascii="Arial" w:hAnsi="Arial" w:cs="Arial"/>
                <w:sz w:val="22"/>
                <w:szCs w:val="22"/>
              </w:rPr>
            </w:pPr>
            <w:r w:rsidRPr="00E45291">
              <w:rPr>
                <w:rFonts w:ascii="Arial" w:hAnsi="Arial" w:cs="Arial"/>
                <w:sz w:val="22"/>
                <w:szCs w:val="22"/>
              </w:rPr>
              <w:t>N/A</w:t>
            </w:r>
          </w:p>
        </w:tc>
      </w:tr>
      <w:tr w:rsidR="003A2155" w14:paraId="4ED09E02" w14:textId="77777777" w:rsidTr="005C75D4">
        <w:tc>
          <w:tcPr>
            <w:tcW w:w="1880" w:type="dxa"/>
            <w:vMerge/>
          </w:tcPr>
          <w:p w14:paraId="144DC873" w14:textId="77777777" w:rsidR="003A2155" w:rsidRPr="00593D86" w:rsidRDefault="003A2155" w:rsidP="003A2155">
            <w:pPr>
              <w:pStyle w:val="Default"/>
              <w:ind w:left="313"/>
              <w:rPr>
                <w:rFonts w:ascii="Arial" w:hAnsi="Arial" w:cs="Arial"/>
                <w:sz w:val="22"/>
                <w:szCs w:val="22"/>
              </w:rPr>
            </w:pPr>
          </w:p>
        </w:tc>
        <w:tc>
          <w:tcPr>
            <w:tcW w:w="4778" w:type="dxa"/>
          </w:tcPr>
          <w:p w14:paraId="070FAB43" w14:textId="63F46852" w:rsidR="003A2155" w:rsidRPr="00593D86" w:rsidRDefault="003A2155" w:rsidP="003A2155">
            <w:pPr>
              <w:pStyle w:val="Default"/>
              <w:rPr>
                <w:rFonts w:ascii="Arial" w:hAnsi="Arial" w:cs="Arial"/>
                <w:sz w:val="22"/>
                <w:szCs w:val="22"/>
              </w:rPr>
            </w:pPr>
            <w:r w:rsidRPr="00593D86">
              <w:rPr>
                <w:rFonts w:ascii="Arial" w:hAnsi="Arial" w:cs="Arial"/>
                <w:sz w:val="22"/>
                <w:szCs w:val="22"/>
              </w:rPr>
              <w:t>E5 There is a report to the governing body at least annually on performance against the counter fraud strategy and the effectiveness of the strategy from the lead person(s) designated in the strategy. Conclusions are featured in the annual governance report.</w:t>
            </w:r>
          </w:p>
        </w:tc>
        <w:tc>
          <w:tcPr>
            <w:tcW w:w="4394" w:type="dxa"/>
          </w:tcPr>
          <w:p w14:paraId="7F29E7C0" w14:textId="0A0C15BC" w:rsidR="003A2155" w:rsidRPr="00593D86" w:rsidRDefault="003A2155" w:rsidP="003A2155">
            <w:pPr>
              <w:pStyle w:val="Default"/>
              <w:rPr>
                <w:rFonts w:ascii="Arial" w:hAnsi="Arial" w:cs="Arial"/>
                <w:sz w:val="22"/>
                <w:szCs w:val="22"/>
              </w:rPr>
            </w:pPr>
            <w:r>
              <w:rPr>
                <w:rFonts w:ascii="Arial" w:hAnsi="Arial" w:cs="Arial"/>
                <w:sz w:val="22"/>
                <w:szCs w:val="22"/>
              </w:rPr>
              <w:t>An annual counter fraud report is submitted to the Audit and Governance Committee. Where appropriate conclusions are then incorporated into the Internal Audit Annual Report and the annual governance report.</w:t>
            </w:r>
          </w:p>
        </w:tc>
        <w:tc>
          <w:tcPr>
            <w:tcW w:w="2977" w:type="dxa"/>
          </w:tcPr>
          <w:p w14:paraId="05ACBCB8" w14:textId="429E06EB" w:rsidR="003A2155" w:rsidRPr="00593D86" w:rsidRDefault="003A2155" w:rsidP="003A2155">
            <w:pPr>
              <w:pStyle w:val="Default"/>
              <w:rPr>
                <w:rFonts w:ascii="Arial" w:hAnsi="Arial" w:cs="Arial"/>
                <w:sz w:val="22"/>
                <w:szCs w:val="22"/>
              </w:rPr>
            </w:pPr>
            <w:r w:rsidRPr="00E45291">
              <w:rPr>
                <w:rFonts w:ascii="Arial" w:hAnsi="Arial" w:cs="Arial"/>
                <w:sz w:val="22"/>
                <w:szCs w:val="22"/>
              </w:rPr>
              <w:t>N/A</w:t>
            </w:r>
          </w:p>
        </w:tc>
      </w:tr>
    </w:tbl>
    <w:p w14:paraId="688EE9FE" w14:textId="77777777" w:rsidR="00216D69" w:rsidRDefault="00216D69" w:rsidP="00216D69">
      <w:pPr>
        <w:pStyle w:val="Default"/>
      </w:pPr>
    </w:p>
    <w:p w14:paraId="5F12C236" w14:textId="77777777" w:rsidR="00584FDD" w:rsidRDefault="00584FDD" w:rsidP="00402379">
      <w:pPr>
        <w:pStyle w:val="Default"/>
      </w:pPr>
    </w:p>
    <w:p w14:paraId="6DB17E09" w14:textId="77777777" w:rsidR="00584FDD" w:rsidRPr="002D4568" w:rsidRDefault="00584FDD" w:rsidP="00402379">
      <w:pPr>
        <w:pStyle w:val="Default"/>
      </w:pPr>
    </w:p>
    <w:sectPr w:rsidR="00584FDD" w:rsidRPr="002D4568" w:rsidSect="005C75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FS Lola">
    <w:altName w:val="FS Lol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7128"/>
    <w:multiLevelType w:val="multilevel"/>
    <w:tmpl w:val="910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2F5699"/>
    <w:multiLevelType w:val="hybridMultilevel"/>
    <w:tmpl w:val="9F285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68"/>
    <w:rsid w:val="00037615"/>
    <w:rsid w:val="00071F7A"/>
    <w:rsid w:val="000830B8"/>
    <w:rsid w:val="000A75B1"/>
    <w:rsid w:val="00120623"/>
    <w:rsid w:val="00125D11"/>
    <w:rsid w:val="001B4227"/>
    <w:rsid w:val="001B71C6"/>
    <w:rsid w:val="001F061C"/>
    <w:rsid w:val="001F08AC"/>
    <w:rsid w:val="00216D69"/>
    <w:rsid w:val="00234A4F"/>
    <w:rsid w:val="002409DE"/>
    <w:rsid w:val="00253ECD"/>
    <w:rsid w:val="002D0528"/>
    <w:rsid w:val="002D4568"/>
    <w:rsid w:val="002F6AB2"/>
    <w:rsid w:val="003A2155"/>
    <w:rsid w:val="00402379"/>
    <w:rsid w:val="004B6F29"/>
    <w:rsid w:val="0052290B"/>
    <w:rsid w:val="0055169D"/>
    <w:rsid w:val="00584FDD"/>
    <w:rsid w:val="00593D86"/>
    <w:rsid w:val="005C75D4"/>
    <w:rsid w:val="005E4B3F"/>
    <w:rsid w:val="00640F90"/>
    <w:rsid w:val="006C13F1"/>
    <w:rsid w:val="006D6640"/>
    <w:rsid w:val="007A6131"/>
    <w:rsid w:val="00893DDC"/>
    <w:rsid w:val="008C2FFF"/>
    <w:rsid w:val="008C753B"/>
    <w:rsid w:val="009528B1"/>
    <w:rsid w:val="009974C2"/>
    <w:rsid w:val="009B53B7"/>
    <w:rsid w:val="00B12370"/>
    <w:rsid w:val="00B944A6"/>
    <w:rsid w:val="00BC1974"/>
    <w:rsid w:val="00BD7BB8"/>
    <w:rsid w:val="00C15E41"/>
    <w:rsid w:val="00C9309B"/>
    <w:rsid w:val="00C96033"/>
    <w:rsid w:val="00D466AA"/>
    <w:rsid w:val="00DE7628"/>
    <w:rsid w:val="00E23683"/>
    <w:rsid w:val="00F43502"/>
    <w:rsid w:val="00FF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0597"/>
  <w15:chartTrackingRefBased/>
  <w15:docId w15:val="{1556065B-353E-4F84-86A5-C01CB157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5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568"/>
    <w:rPr>
      <w:rFonts w:asciiTheme="majorHAnsi" w:eastAsiaTheme="majorEastAsia" w:hAnsiTheme="majorHAnsi" w:cstheme="majorBidi"/>
      <w:spacing w:val="-10"/>
      <w:kern w:val="28"/>
      <w:sz w:val="56"/>
      <w:szCs w:val="56"/>
    </w:rPr>
  </w:style>
  <w:style w:type="paragraph" w:customStyle="1" w:styleId="Default">
    <w:name w:val="Default"/>
    <w:rsid w:val="002D4568"/>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8C2FFF"/>
    <w:rPr>
      <w:color w:val="0563C1"/>
      <w:u w:val="single"/>
    </w:rPr>
  </w:style>
  <w:style w:type="character" w:styleId="CommentReference">
    <w:name w:val="annotation reference"/>
    <w:basedOn w:val="DefaultParagraphFont"/>
    <w:uiPriority w:val="99"/>
    <w:semiHidden/>
    <w:unhideWhenUsed/>
    <w:rsid w:val="009974C2"/>
    <w:rPr>
      <w:sz w:val="16"/>
      <w:szCs w:val="16"/>
    </w:rPr>
  </w:style>
  <w:style w:type="paragraph" w:styleId="CommentText">
    <w:name w:val="annotation text"/>
    <w:basedOn w:val="Normal"/>
    <w:link w:val="CommentTextChar"/>
    <w:uiPriority w:val="99"/>
    <w:semiHidden/>
    <w:unhideWhenUsed/>
    <w:rsid w:val="009974C2"/>
    <w:rPr>
      <w:sz w:val="20"/>
      <w:szCs w:val="20"/>
    </w:rPr>
  </w:style>
  <w:style w:type="character" w:customStyle="1" w:styleId="CommentTextChar">
    <w:name w:val="Comment Text Char"/>
    <w:basedOn w:val="DefaultParagraphFont"/>
    <w:link w:val="CommentText"/>
    <w:uiPriority w:val="99"/>
    <w:semiHidden/>
    <w:rsid w:val="009974C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74C2"/>
    <w:rPr>
      <w:b/>
      <w:bCs/>
    </w:rPr>
  </w:style>
  <w:style w:type="character" w:customStyle="1" w:styleId="CommentSubjectChar">
    <w:name w:val="Comment Subject Char"/>
    <w:basedOn w:val="CommentTextChar"/>
    <w:link w:val="CommentSubject"/>
    <w:uiPriority w:val="99"/>
    <w:semiHidden/>
    <w:rsid w:val="009974C2"/>
    <w:rPr>
      <w:rFonts w:ascii="Calibri" w:hAnsi="Calibri" w:cs="Times New Roman"/>
      <w:b/>
      <w:bCs/>
      <w:sz w:val="20"/>
      <w:szCs w:val="20"/>
    </w:rPr>
  </w:style>
  <w:style w:type="paragraph" w:styleId="BalloonText">
    <w:name w:val="Balloon Text"/>
    <w:basedOn w:val="Normal"/>
    <w:link w:val="BalloonTextChar"/>
    <w:uiPriority w:val="99"/>
    <w:semiHidden/>
    <w:unhideWhenUsed/>
    <w:rsid w:val="00997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C2"/>
    <w:rPr>
      <w:rFonts w:ascii="Segoe UI" w:hAnsi="Segoe UI" w:cs="Segoe UI"/>
      <w:sz w:val="18"/>
      <w:szCs w:val="18"/>
    </w:rPr>
  </w:style>
  <w:style w:type="character" w:styleId="FollowedHyperlink">
    <w:name w:val="FollowedHyperlink"/>
    <w:basedOn w:val="DefaultParagraphFont"/>
    <w:uiPriority w:val="99"/>
    <w:semiHidden/>
    <w:unhideWhenUsed/>
    <w:rsid w:val="00BC1974"/>
    <w:rPr>
      <w:color w:val="954F72" w:themeColor="followedHyperlink"/>
      <w:u w:val="single"/>
    </w:rPr>
  </w:style>
  <w:style w:type="table" w:styleId="TableGrid">
    <w:name w:val="Table Grid"/>
    <w:basedOn w:val="TableNormal"/>
    <w:uiPriority w:val="39"/>
    <w:rsid w:val="0021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830B8"/>
    <w:pPr>
      <w:spacing w:line="221" w:lineRule="atLeast"/>
    </w:pPr>
    <w:rPr>
      <w:rFonts w:ascii="FS Lola" w:hAnsi="FS Lol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1060">
      <w:bodyDiv w:val="1"/>
      <w:marLeft w:val="0"/>
      <w:marRight w:val="0"/>
      <w:marTop w:val="0"/>
      <w:marBottom w:val="0"/>
      <w:divBdr>
        <w:top w:val="none" w:sz="0" w:space="0" w:color="auto"/>
        <w:left w:val="none" w:sz="0" w:space="0" w:color="auto"/>
        <w:bottom w:val="none" w:sz="0" w:space="0" w:color="auto"/>
        <w:right w:val="none" w:sz="0" w:space="0" w:color="auto"/>
      </w:divBdr>
    </w:div>
    <w:div w:id="1705717697">
      <w:bodyDiv w:val="1"/>
      <w:marLeft w:val="0"/>
      <w:marRight w:val="0"/>
      <w:marTop w:val="0"/>
      <w:marBottom w:val="0"/>
      <w:divBdr>
        <w:top w:val="none" w:sz="0" w:space="0" w:color="auto"/>
        <w:left w:val="none" w:sz="0" w:space="0" w:color="auto"/>
        <w:bottom w:val="none" w:sz="0" w:space="0" w:color="auto"/>
        <w:right w:val="none" w:sz="0" w:space="0" w:color="auto"/>
      </w:divBdr>
      <w:divsChild>
        <w:div w:id="1928995745">
          <w:marLeft w:val="0"/>
          <w:marRight w:val="0"/>
          <w:marTop w:val="0"/>
          <w:marBottom w:val="0"/>
          <w:divBdr>
            <w:top w:val="none" w:sz="0" w:space="0" w:color="auto"/>
            <w:left w:val="none" w:sz="0" w:space="0" w:color="auto"/>
            <w:bottom w:val="none" w:sz="0" w:space="0" w:color="auto"/>
            <w:right w:val="none" w:sz="0" w:space="0" w:color="auto"/>
          </w:divBdr>
          <w:divsChild>
            <w:div w:id="456994929">
              <w:marLeft w:val="0"/>
              <w:marRight w:val="0"/>
              <w:marTop w:val="0"/>
              <w:marBottom w:val="0"/>
              <w:divBdr>
                <w:top w:val="none" w:sz="0" w:space="0" w:color="auto"/>
                <w:left w:val="none" w:sz="0" w:space="0" w:color="auto"/>
                <w:bottom w:val="none" w:sz="0" w:space="0" w:color="auto"/>
                <w:right w:val="none" w:sz="0" w:space="0" w:color="auto"/>
              </w:divBdr>
              <w:divsChild>
                <w:div w:id="1722287709">
                  <w:marLeft w:val="0"/>
                  <w:marRight w:val="0"/>
                  <w:marTop w:val="0"/>
                  <w:marBottom w:val="0"/>
                  <w:divBdr>
                    <w:top w:val="none" w:sz="0" w:space="0" w:color="auto"/>
                    <w:left w:val="none" w:sz="0" w:space="0" w:color="auto"/>
                    <w:bottom w:val="none" w:sz="0" w:space="0" w:color="auto"/>
                    <w:right w:val="none" w:sz="0" w:space="0" w:color="auto"/>
                  </w:divBdr>
                  <w:divsChild>
                    <w:div w:id="499661701">
                      <w:marLeft w:val="0"/>
                      <w:marRight w:val="0"/>
                      <w:marTop w:val="0"/>
                      <w:marBottom w:val="0"/>
                      <w:divBdr>
                        <w:top w:val="none" w:sz="0" w:space="0" w:color="auto"/>
                        <w:left w:val="none" w:sz="0" w:space="0" w:color="auto"/>
                        <w:bottom w:val="none" w:sz="0" w:space="0" w:color="auto"/>
                        <w:right w:val="none" w:sz="0" w:space="0" w:color="auto"/>
                      </w:divBdr>
                      <w:divsChild>
                        <w:div w:id="826677307">
                          <w:marLeft w:val="0"/>
                          <w:marRight w:val="0"/>
                          <w:marTop w:val="0"/>
                          <w:marBottom w:val="0"/>
                          <w:divBdr>
                            <w:top w:val="none" w:sz="0" w:space="0" w:color="auto"/>
                            <w:left w:val="none" w:sz="0" w:space="0" w:color="auto"/>
                            <w:bottom w:val="none" w:sz="0" w:space="0" w:color="auto"/>
                            <w:right w:val="none" w:sz="0" w:space="0" w:color="auto"/>
                          </w:divBdr>
                          <w:divsChild>
                            <w:div w:id="116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D014-1797-406C-98E1-AD2184E4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Rushworth, Ian</dc:creator>
  <cp:keywords/>
  <dc:description/>
  <cp:lastModifiedBy>Rushworth, Ian</cp:lastModifiedBy>
  <cp:revision>2</cp:revision>
  <cp:lastPrinted>2014-12-01T07:52:00Z</cp:lastPrinted>
  <dcterms:created xsi:type="dcterms:W3CDTF">2015-01-12T09:01:00Z</dcterms:created>
  <dcterms:modified xsi:type="dcterms:W3CDTF">2015-01-12T09:01:00Z</dcterms:modified>
</cp:coreProperties>
</file>